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33C41" w14:textId="77777777" w:rsidR="00D62A2E" w:rsidRPr="00475B2C" w:rsidRDefault="00D62A2E" w:rsidP="00E94C23">
      <w:pPr>
        <w:spacing w:line="276" w:lineRule="auto"/>
        <w:ind w:firstLine="567"/>
        <w:jc w:val="right"/>
        <w:rPr>
          <w:rFonts w:ascii="Tahoma" w:hAnsi="Tahoma" w:cs="Tahoma"/>
          <w:b/>
        </w:rPr>
      </w:pPr>
    </w:p>
    <w:p w14:paraId="7121F46D" w14:textId="6BD3890E" w:rsidR="00746FB0" w:rsidRPr="00475B2C" w:rsidRDefault="00746FB0" w:rsidP="00ED5060">
      <w:pPr>
        <w:spacing w:line="276" w:lineRule="auto"/>
        <w:rPr>
          <w:rFonts w:ascii="Tahoma" w:hAnsi="Tahoma" w:cs="Tahoma"/>
          <w:bCs/>
        </w:rPr>
      </w:pPr>
      <w:r w:rsidRPr="00475B2C">
        <w:rPr>
          <w:rFonts w:ascii="Tahoma" w:hAnsi="Tahoma" w:cs="Tahoma"/>
          <w:bCs/>
        </w:rPr>
        <w:t xml:space="preserve">ZAŁĄCZNIK </w:t>
      </w:r>
      <w:r w:rsidR="00E02C1E" w:rsidRPr="00475B2C">
        <w:rPr>
          <w:rFonts w:ascii="Tahoma" w:hAnsi="Tahoma" w:cs="Tahoma"/>
          <w:bCs/>
        </w:rPr>
        <w:t xml:space="preserve">NR </w:t>
      </w:r>
      <w:r w:rsidR="001B5587">
        <w:rPr>
          <w:rFonts w:ascii="Tahoma" w:hAnsi="Tahoma" w:cs="Tahoma"/>
          <w:bCs/>
        </w:rPr>
        <w:t>3</w:t>
      </w:r>
    </w:p>
    <w:p w14:paraId="3EAADBD4" w14:textId="77777777" w:rsidR="00DD7126" w:rsidRPr="00E94C23" w:rsidRDefault="00011187" w:rsidP="00E94C23">
      <w:pPr>
        <w:spacing w:line="276" w:lineRule="auto"/>
        <w:ind w:firstLine="360"/>
        <w:jc w:val="center"/>
        <w:rPr>
          <w:rFonts w:ascii="Tahoma" w:hAnsi="Tahoma" w:cs="Tahoma"/>
          <w:b/>
          <w:i/>
          <w:sz w:val="28"/>
          <w:szCs w:val="28"/>
        </w:rPr>
      </w:pPr>
      <w:r w:rsidRPr="00E94C23">
        <w:rPr>
          <w:rFonts w:ascii="Tahoma" w:hAnsi="Tahoma" w:cs="Tahoma"/>
          <w:b/>
          <w:i/>
          <w:sz w:val="28"/>
          <w:szCs w:val="28"/>
        </w:rPr>
        <w:t>WARUNKI TECHNICZNE</w:t>
      </w:r>
    </w:p>
    <w:p w14:paraId="5E1653B3" w14:textId="77777777" w:rsidR="000F506A" w:rsidRDefault="001E778B" w:rsidP="00E94C23">
      <w:pPr>
        <w:spacing w:line="276" w:lineRule="auto"/>
        <w:ind w:firstLine="360"/>
        <w:jc w:val="center"/>
        <w:rPr>
          <w:rFonts w:ascii="Tahoma" w:hAnsi="Tahoma" w:cs="Tahoma"/>
          <w:bCs/>
          <w:i/>
        </w:rPr>
      </w:pPr>
      <w:bookmarkStart w:id="0" w:name="_Hlk63417379"/>
      <w:r w:rsidRPr="001E778B">
        <w:rPr>
          <w:rFonts w:ascii="Tahoma" w:hAnsi="Tahoma" w:cs="Tahoma"/>
          <w:bCs/>
          <w:i/>
        </w:rPr>
        <w:t>Wykonanie dokumentacji projektowej przebudowy układu drogowego w obrębie ulicy Władysława IV od Jana z Kolna do Obrońców Wybrzeża</w:t>
      </w:r>
    </w:p>
    <w:p w14:paraId="270719A1" w14:textId="77777777" w:rsidR="000F506A" w:rsidRDefault="000F506A" w:rsidP="00E94C23">
      <w:pPr>
        <w:spacing w:line="276" w:lineRule="auto"/>
        <w:rPr>
          <w:rFonts w:ascii="Tahoma" w:hAnsi="Tahoma" w:cs="Tahoma"/>
          <w:bCs/>
          <w:i/>
        </w:rPr>
      </w:pPr>
    </w:p>
    <w:p w14:paraId="5E15BF37" w14:textId="1995E88D" w:rsidR="00C77C92" w:rsidRPr="00E94C23" w:rsidRDefault="00C77C92" w:rsidP="00E94C23">
      <w:pPr>
        <w:spacing w:line="276" w:lineRule="auto"/>
        <w:rPr>
          <w:rFonts w:ascii="Tahoma" w:hAnsi="Tahoma" w:cs="Tahoma"/>
          <w:sz w:val="22"/>
          <w:szCs w:val="22"/>
        </w:rPr>
      </w:pPr>
      <w:r w:rsidRPr="00E94C23">
        <w:rPr>
          <w:rFonts w:ascii="Tahoma" w:hAnsi="Tahoma" w:cs="Tahoma"/>
          <w:sz w:val="22"/>
          <w:szCs w:val="22"/>
        </w:rPr>
        <w:t>SŁOWNIK</w:t>
      </w:r>
    </w:p>
    <w:p w14:paraId="035581F1" w14:textId="77777777" w:rsidR="00C77C92" w:rsidRPr="00E94C23" w:rsidRDefault="00C77C92" w:rsidP="00791CB6">
      <w:pPr>
        <w:spacing w:line="276" w:lineRule="auto"/>
        <w:jc w:val="both"/>
        <w:rPr>
          <w:rFonts w:ascii="Tahoma" w:hAnsi="Tahoma" w:cs="Tahoma"/>
          <w:sz w:val="22"/>
          <w:szCs w:val="22"/>
        </w:rPr>
      </w:pPr>
      <w:r w:rsidRPr="00E94C23">
        <w:rPr>
          <w:rFonts w:ascii="Tahoma" w:hAnsi="Tahoma" w:cs="Tahoma"/>
          <w:b/>
          <w:bCs/>
          <w:sz w:val="22"/>
          <w:szCs w:val="22"/>
        </w:rPr>
        <w:t>System TRISTAR</w:t>
      </w:r>
      <w:r w:rsidRPr="00E94C23">
        <w:rPr>
          <w:rFonts w:ascii="Tahoma" w:hAnsi="Tahoma" w:cs="Tahoma"/>
          <w:sz w:val="22"/>
          <w:szCs w:val="22"/>
        </w:rPr>
        <w:t xml:space="preserve"> – Trójmiejski Zintegrowany System Zarządzania i Sterowania Ruchem, służący do nowoczesnego zarządzania transportem w Trójmieście;</w:t>
      </w:r>
    </w:p>
    <w:p w14:paraId="0266AFAE" w14:textId="48180FC6" w:rsidR="00C77C92" w:rsidRPr="00E94C23" w:rsidRDefault="00C77C92" w:rsidP="00791CB6">
      <w:pPr>
        <w:spacing w:line="276" w:lineRule="auto"/>
        <w:jc w:val="both"/>
        <w:rPr>
          <w:rFonts w:ascii="Tahoma" w:hAnsi="Tahoma" w:cs="Tahoma"/>
          <w:sz w:val="22"/>
          <w:szCs w:val="22"/>
        </w:rPr>
      </w:pPr>
      <w:r w:rsidRPr="00E94C23">
        <w:rPr>
          <w:rFonts w:ascii="Tahoma" w:hAnsi="Tahoma" w:cs="Tahoma"/>
          <w:b/>
          <w:bCs/>
          <w:sz w:val="22"/>
          <w:szCs w:val="22"/>
        </w:rPr>
        <w:t>Lokalny Węzeł Telekomunikacyjny (LWT)</w:t>
      </w:r>
      <w:r w:rsidRPr="00E94C23">
        <w:rPr>
          <w:rFonts w:ascii="Tahoma" w:hAnsi="Tahoma" w:cs="Tahoma"/>
          <w:sz w:val="22"/>
          <w:szCs w:val="22"/>
        </w:rPr>
        <w:t xml:space="preserve"> – zlokalizowana na terenie miasta Gdynia szafka teletechniczna, wyposażona w urządzania do transmisji danych, pomiędzy infrastrukturą systemu TRISTAR a Centrum Zarządzania i Sterowania Ruchem, oraz urządzenia elektryczne niezbędne do zasilenia ich w energię elektryczną;</w:t>
      </w:r>
    </w:p>
    <w:p w14:paraId="5E21F206" w14:textId="24A1DA94" w:rsidR="00C77C92" w:rsidRPr="00E94C23" w:rsidRDefault="00C77C92" w:rsidP="00791CB6">
      <w:pPr>
        <w:spacing w:line="276" w:lineRule="auto"/>
        <w:jc w:val="both"/>
        <w:rPr>
          <w:rFonts w:ascii="Tahoma" w:hAnsi="Tahoma" w:cs="Tahoma"/>
          <w:sz w:val="22"/>
          <w:szCs w:val="22"/>
        </w:rPr>
      </w:pPr>
      <w:r w:rsidRPr="00E94C23">
        <w:rPr>
          <w:rFonts w:ascii="Tahoma" w:hAnsi="Tahoma" w:cs="Tahoma"/>
          <w:b/>
          <w:bCs/>
          <w:sz w:val="22"/>
          <w:szCs w:val="22"/>
        </w:rPr>
        <w:t>Kanalizacja TRISTAR</w:t>
      </w:r>
      <w:r w:rsidRPr="00E94C23">
        <w:rPr>
          <w:rFonts w:ascii="Tahoma" w:hAnsi="Tahoma" w:cs="Tahoma"/>
          <w:sz w:val="22"/>
          <w:szCs w:val="22"/>
        </w:rPr>
        <w:t xml:space="preserve"> – wybudowana w ramach systemu TRISTAR kanalizacja kablowa, w której poprowadzono m.in. światłowody służące do połączenia infrastruktury TRISTAR z Centrum Sterowania Ruchem z wykorzystaniem lokalnych węzłów telekomunikacyjnych;</w:t>
      </w:r>
    </w:p>
    <w:p w14:paraId="704B2B5E" w14:textId="18C29445" w:rsidR="00C77C92" w:rsidRPr="00E94C23" w:rsidRDefault="00C77C92" w:rsidP="00791CB6">
      <w:pPr>
        <w:spacing w:line="276" w:lineRule="auto"/>
        <w:jc w:val="both"/>
        <w:rPr>
          <w:rFonts w:ascii="Tahoma" w:hAnsi="Tahoma" w:cs="Tahoma"/>
          <w:sz w:val="22"/>
          <w:szCs w:val="22"/>
        </w:rPr>
      </w:pPr>
    </w:p>
    <w:p w14:paraId="03752494" w14:textId="77777777" w:rsidR="00E94C23" w:rsidRPr="00E94C23" w:rsidRDefault="00E94C23" w:rsidP="00791CB6">
      <w:pPr>
        <w:pStyle w:val="Normalny1"/>
        <w:spacing w:after="0"/>
        <w:rPr>
          <w:rFonts w:ascii="Tahoma" w:hAnsi="Tahoma" w:cs="Tahoma"/>
          <w:b/>
          <w:szCs w:val="22"/>
        </w:rPr>
      </w:pPr>
      <w:r w:rsidRPr="00E94C23">
        <w:rPr>
          <w:rFonts w:ascii="Tahoma" w:hAnsi="Tahoma" w:cs="Tahoma"/>
          <w:b/>
          <w:szCs w:val="22"/>
        </w:rPr>
        <w:t>Zakres prac projektowych:</w:t>
      </w:r>
    </w:p>
    <w:p w14:paraId="4008F6F7" w14:textId="4F1F4EC9" w:rsidR="00E94C23" w:rsidRPr="00E94C23" w:rsidRDefault="00E94C23" w:rsidP="00791CB6">
      <w:pPr>
        <w:pStyle w:val="Akapitzlist"/>
        <w:widowControl/>
        <w:numPr>
          <w:ilvl w:val="0"/>
          <w:numId w:val="30"/>
        </w:numPr>
        <w:suppressAutoHyphens w:val="0"/>
        <w:spacing w:after="0" w:line="276" w:lineRule="auto"/>
        <w:contextualSpacing/>
        <w:jc w:val="both"/>
        <w:rPr>
          <w:rFonts w:ascii="Tahoma" w:hAnsi="Tahoma" w:cs="Tahoma"/>
          <w:sz w:val="22"/>
          <w:szCs w:val="22"/>
        </w:rPr>
      </w:pPr>
      <w:r w:rsidRPr="00E94C23">
        <w:rPr>
          <w:rFonts w:ascii="Tahoma" w:hAnsi="Tahoma" w:cs="Tahoma"/>
          <w:sz w:val="22"/>
          <w:szCs w:val="22"/>
        </w:rPr>
        <w:t>Wszelkie prace związane z sygnalizacją świetlną oraz systemem TRISTAR należy na bieżąco konsultować z ZDiZ w Gdyni</w:t>
      </w:r>
      <w:r>
        <w:rPr>
          <w:rFonts w:ascii="Tahoma" w:hAnsi="Tahoma" w:cs="Tahoma"/>
          <w:sz w:val="22"/>
          <w:szCs w:val="22"/>
        </w:rPr>
        <w:t>;</w:t>
      </w:r>
    </w:p>
    <w:p w14:paraId="29148A67" w14:textId="7F1E5B71" w:rsidR="00E94C23" w:rsidRPr="00E94C23" w:rsidRDefault="00E94C23" w:rsidP="00791CB6">
      <w:pPr>
        <w:pStyle w:val="Standard"/>
        <w:numPr>
          <w:ilvl w:val="0"/>
          <w:numId w:val="30"/>
        </w:numPr>
        <w:spacing w:line="276" w:lineRule="auto"/>
        <w:rPr>
          <w:rFonts w:ascii="Tahoma" w:hAnsi="Tahoma" w:cs="Tahoma"/>
          <w:sz w:val="22"/>
          <w:szCs w:val="22"/>
        </w:rPr>
      </w:pPr>
      <w:r w:rsidRPr="00E94C23">
        <w:rPr>
          <w:rFonts w:ascii="Tahoma" w:hAnsi="Tahoma" w:cs="Tahoma"/>
          <w:sz w:val="22"/>
          <w:szCs w:val="22"/>
        </w:rPr>
        <w:t>Projekty branży elektrycznej w zakresie projektu sygnalizacji świetlnej</w:t>
      </w:r>
      <w:r>
        <w:rPr>
          <w:rFonts w:ascii="Tahoma" w:hAnsi="Tahoma" w:cs="Tahoma"/>
          <w:sz w:val="22"/>
          <w:szCs w:val="22"/>
        </w:rPr>
        <w:t>;</w:t>
      </w:r>
    </w:p>
    <w:p w14:paraId="140E5E99" w14:textId="39675E15" w:rsidR="00E94C23" w:rsidRPr="00E94C23" w:rsidRDefault="00E94C23" w:rsidP="00791CB6">
      <w:pPr>
        <w:pStyle w:val="Standard"/>
        <w:numPr>
          <w:ilvl w:val="0"/>
          <w:numId w:val="30"/>
        </w:numPr>
        <w:spacing w:line="276" w:lineRule="auto"/>
        <w:rPr>
          <w:rFonts w:ascii="Tahoma" w:hAnsi="Tahoma" w:cs="Tahoma"/>
          <w:sz w:val="22"/>
          <w:szCs w:val="22"/>
        </w:rPr>
      </w:pPr>
      <w:r w:rsidRPr="00E94C23">
        <w:rPr>
          <w:rFonts w:ascii="Tahoma" w:hAnsi="Tahoma" w:cs="Tahoma"/>
          <w:sz w:val="22"/>
          <w:szCs w:val="22"/>
        </w:rPr>
        <w:t>Projekty stałej organizacji ruchu na skrzyżowaniach z sygnalizacją świetlną obejmujące branżę inżynierii ruchu zgodnie z wymogami ZDiZ Gdynia</w:t>
      </w:r>
      <w:r>
        <w:rPr>
          <w:rFonts w:ascii="Tahoma" w:hAnsi="Tahoma" w:cs="Tahoma"/>
          <w:sz w:val="22"/>
          <w:szCs w:val="22"/>
        </w:rPr>
        <w:t>;</w:t>
      </w:r>
    </w:p>
    <w:p w14:paraId="064FCA82" w14:textId="77777777" w:rsidR="00E94C23" w:rsidRPr="00E94C23" w:rsidRDefault="00E94C23" w:rsidP="00791CB6">
      <w:pPr>
        <w:pStyle w:val="Akapitzlist"/>
        <w:widowControl/>
        <w:numPr>
          <w:ilvl w:val="0"/>
          <w:numId w:val="30"/>
        </w:numPr>
        <w:suppressAutoHyphens w:val="0"/>
        <w:spacing w:after="0" w:line="276" w:lineRule="auto"/>
        <w:contextualSpacing/>
        <w:jc w:val="both"/>
        <w:rPr>
          <w:rFonts w:ascii="Tahoma" w:hAnsi="Tahoma" w:cs="Tahoma"/>
          <w:sz w:val="22"/>
          <w:szCs w:val="22"/>
        </w:rPr>
      </w:pPr>
      <w:r w:rsidRPr="00E94C23">
        <w:rPr>
          <w:rFonts w:ascii="Tahoma" w:hAnsi="Tahoma" w:cs="Tahoma"/>
          <w:sz w:val="22"/>
          <w:szCs w:val="22"/>
        </w:rPr>
        <w:t>Parametry wszystkich projektowanych urządzeń nie mogą być niższe niż zastosowane w systemie TRISTAR i spełniać wszystkie wymagane w systemie funkcjonalności;</w:t>
      </w:r>
    </w:p>
    <w:p w14:paraId="3E18962C" w14:textId="598C6B37" w:rsidR="00E94C23" w:rsidRPr="00E94C23" w:rsidRDefault="00E94C23" w:rsidP="00791CB6">
      <w:pPr>
        <w:pStyle w:val="Akapitzlist"/>
        <w:widowControl/>
        <w:numPr>
          <w:ilvl w:val="0"/>
          <w:numId w:val="30"/>
        </w:numPr>
        <w:suppressAutoHyphens w:val="0"/>
        <w:spacing w:after="0" w:line="276" w:lineRule="auto"/>
        <w:contextualSpacing/>
        <w:jc w:val="both"/>
        <w:rPr>
          <w:rFonts w:ascii="Tahoma" w:hAnsi="Tahoma" w:cs="Tahoma"/>
          <w:sz w:val="22"/>
          <w:szCs w:val="22"/>
        </w:rPr>
      </w:pPr>
      <w:r w:rsidRPr="00E94C23">
        <w:rPr>
          <w:rFonts w:ascii="Tahoma" w:hAnsi="Tahoma" w:cs="Tahoma"/>
          <w:sz w:val="22"/>
          <w:szCs w:val="22"/>
        </w:rPr>
        <w:t>Dokumentacja techniczna systemu TRISTAR jest dostępna do wglądu w siedzibie Zarządu Dróg i Zieleni w Gdyni</w:t>
      </w:r>
      <w:r>
        <w:rPr>
          <w:rFonts w:ascii="Tahoma" w:hAnsi="Tahoma" w:cs="Tahoma"/>
          <w:sz w:val="22"/>
          <w:szCs w:val="22"/>
        </w:rPr>
        <w:t>.</w:t>
      </w:r>
    </w:p>
    <w:p w14:paraId="7BBEE5B1" w14:textId="73E1A553" w:rsidR="00E94C23" w:rsidRPr="00E94C23" w:rsidRDefault="00E94C23" w:rsidP="00791CB6">
      <w:pPr>
        <w:spacing w:line="276" w:lineRule="auto"/>
        <w:jc w:val="both"/>
        <w:rPr>
          <w:rFonts w:ascii="Tahoma" w:hAnsi="Tahoma" w:cs="Tahoma"/>
          <w:sz w:val="22"/>
          <w:szCs w:val="22"/>
        </w:rPr>
      </w:pPr>
    </w:p>
    <w:p w14:paraId="56DBF6E8" w14:textId="77777777" w:rsidR="00E94C23" w:rsidRPr="00E94C23" w:rsidRDefault="00E94C23" w:rsidP="00E94C23">
      <w:pPr>
        <w:spacing w:line="276" w:lineRule="auto"/>
        <w:ind w:firstLine="360"/>
        <w:jc w:val="center"/>
        <w:rPr>
          <w:rFonts w:ascii="Tahoma" w:hAnsi="Tahoma" w:cs="Tahoma"/>
          <w:b/>
          <w:sz w:val="22"/>
          <w:szCs w:val="22"/>
        </w:rPr>
      </w:pPr>
    </w:p>
    <w:p w14:paraId="61BDF2EA" w14:textId="4F06E715" w:rsidR="00E94C23" w:rsidRPr="00E94C23" w:rsidRDefault="00E94C23" w:rsidP="00E94C23">
      <w:pPr>
        <w:spacing w:line="276" w:lineRule="auto"/>
        <w:ind w:firstLine="360"/>
        <w:jc w:val="center"/>
        <w:rPr>
          <w:rFonts w:ascii="Tahoma" w:eastAsiaTheme="minorHAnsi" w:hAnsi="Tahoma" w:cs="Tahoma"/>
          <w:b/>
          <w:color w:val="auto"/>
          <w:kern w:val="0"/>
          <w:lang w:eastAsia="en-US" w:bidi="ar-SA"/>
        </w:rPr>
      </w:pPr>
      <w:r w:rsidRPr="00E94C23">
        <w:rPr>
          <w:rFonts w:ascii="Tahoma" w:hAnsi="Tahoma" w:cs="Tahoma"/>
          <w:b/>
        </w:rPr>
        <w:t>WARUNKI TECHNICZNE</w:t>
      </w:r>
    </w:p>
    <w:p w14:paraId="4F1CF690" w14:textId="77777777" w:rsidR="00E94C23" w:rsidRPr="00E94C23" w:rsidRDefault="00E94C23" w:rsidP="00E94C23">
      <w:pPr>
        <w:spacing w:line="276" w:lineRule="auto"/>
        <w:ind w:firstLine="357"/>
        <w:jc w:val="center"/>
        <w:rPr>
          <w:rFonts w:ascii="Tahoma" w:hAnsi="Tahoma" w:cs="Tahoma"/>
          <w:b/>
          <w:i/>
        </w:rPr>
      </w:pPr>
      <w:r w:rsidRPr="00E94C23">
        <w:rPr>
          <w:rFonts w:ascii="Tahoma" w:hAnsi="Tahoma" w:cs="Tahoma"/>
          <w:b/>
          <w:i/>
        </w:rPr>
        <w:t>w zakresie sygnalizacji świetlnej</w:t>
      </w:r>
    </w:p>
    <w:p w14:paraId="32904808" w14:textId="77777777" w:rsidR="00E94C23" w:rsidRPr="00E94C23" w:rsidRDefault="00E94C23" w:rsidP="00E94C23">
      <w:pPr>
        <w:spacing w:line="276" w:lineRule="auto"/>
        <w:rPr>
          <w:rFonts w:ascii="Tahoma" w:hAnsi="Tahoma" w:cs="Tahoma"/>
          <w:sz w:val="22"/>
          <w:szCs w:val="22"/>
        </w:rPr>
      </w:pPr>
    </w:p>
    <w:bookmarkEnd w:id="0"/>
    <w:p w14:paraId="5B4D0C05" w14:textId="7536B856" w:rsidR="001074F5" w:rsidRPr="00E94C23" w:rsidRDefault="00011187" w:rsidP="00E94C23">
      <w:pPr>
        <w:pStyle w:val="Akapitzlist"/>
        <w:numPr>
          <w:ilvl w:val="0"/>
          <w:numId w:val="4"/>
        </w:numPr>
        <w:spacing w:after="0" w:line="276" w:lineRule="auto"/>
        <w:ind w:hanging="357"/>
        <w:jc w:val="both"/>
        <w:rPr>
          <w:rFonts w:ascii="Tahoma" w:hAnsi="Tahoma" w:cs="Tahoma"/>
          <w:sz w:val="22"/>
          <w:szCs w:val="22"/>
        </w:rPr>
      </w:pPr>
      <w:r w:rsidRPr="00E94C23">
        <w:rPr>
          <w:rFonts w:ascii="Tahoma" w:hAnsi="Tahoma" w:cs="Tahoma"/>
          <w:sz w:val="22"/>
          <w:szCs w:val="22"/>
        </w:rPr>
        <w:t>Wykonawca</w:t>
      </w:r>
      <w:r w:rsidR="006714F7" w:rsidRPr="00E94C23">
        <w:rPr>
          <w:rFonts w:ascii="Tahoma" w:hAnsi="Tahoma" w:cs="Tahoma"/>
          <w:sz w:val="22"/>
          <w:szCs w:val="22"/>
        </w:rPr>
        <w:t xml:space="preserve"> dla nowo wytyczonych przejść dla pieszych</w:t>
      </w:r>
      <w:r w:rsidR="000D3FD2" w:rsidRPr="00E94C23">
        <w:rPr>
          <w:rFonts w:ascii="Tahoma" w:hAnsi="Tahoma" w:cs="Tahoma"/>
          <w:sz w:val="22"/>
          <w:szCs w:val="22"/>
        </w:rPr>
        <w:t xml:space="preserve">, </w:t>
      </w:r>
      <w:r w:rsidR="00514680" w:rsidRPr="00E94C23">
        <w:rPr>
          <w:rFonts w:ascii="Tahoma" w:hAnsi="Tahoma" w:cs="Tahoma"/>
          <w:sz w:val="22"/>
          <w:szCs w:val="22"/>
        </w:rPr>
        <w:t>przejazd</w:t>
      </w:r>
      <w:r w:rsidR="000D3FD2" w:rsidRPr="00E94C23">
        <w:rPr>
          <w:rFonts w:ascii="Tahoma" w:hAnsi="Tahoma" w:cs="Tahoma"/>
          <w:sz w:val="22"/>
          <w:szCs w:val="22"/>
        </w:rPr>
        <w:t>ów dla rower</w:t>
      </w:r>
      <w:r w:rsidR="00514680" w:rsidRPr="00E94C23">
        <w:rPr>
          <w:rFonts w:ascii="Tahoma" w:hAnsi="Tahoma" w:cs="Tahoma"/>
          <w:sz w:val="22"/>
          <w:szCs w:val="22"/>
        </w:rPr>
        <w:t>zystów</w:t>
      </w:r>
      <w:r w:rsidR="000D3FD2" w:rsidRPr="00E94C23">
        <w:rPr>
          <w:rFonts w:ascii="Tahoma" w:hAnsi="Tahoma" w:cs="Tahoma"/>
          <w:sz w:val="22"/>
          <w:szCs w:val="22"/>
        </w:rPr>
        <w:t xml:space="preserve"> oraz </w:t>
      </w:r>
      <w:r w:rsidR="002A5798">
        <w:rPr>
          <w:rFonts w:ascii="Tahoma" w:hAnsi="Tahoma" w:cs="Tahoma"/>
          <w:sz w:val="22"/>
          <w:szCs w:val="22"/>
        </w:rPr>
        <w:t>kontrapasa autobusowego</w:t>
      </w:r>
      <w:r w:rsidR="006714F7" w:rsidRPr="00E94C23">
        <w:rPr>
          <w:rFonts w:ascii="Tahoma" w:hAnsi="Tahoma" w:cs="Tahoma"/>
          <w:sz w:val="22"/>
          <w:szCs w:val="22"/>
        </w:rPr>
        <w:t xml:space="preserve"> musi opracować</w:t>
      </w:r>
      <w:r w:rsidRPr="00E94C23">
        <w:rPr>
          <w:rFonts w:ascii="Tahoma" w:hAnsi="Tahoma" w:cs="Tahoma"/>
          <w:sz w:val="22"/>
          <w:szCs w:val="22"/>
        </w:rPr>
        <w:t xml:space="preserve"> projekt</w:t>
      </w:r>
      <w:r w:rsidR="006714F7" w:rsidRPr="00E94C23">
        <w:rPr>
          <w:rFonts w:ascii="Tahoma" w:hAnsi="Tahoma" w:cs="Tahoma"/>
          <w:sz w:val="22"/>
          <w:szCs w:val="22"/>
        </w:rPr>
        <w:t xml:space="preserve"> rozbudowy</w:t>
      </w:r>
      <w:r w:rsidRPr="00E94C23">
        <w:rPr>
          <w:rFonts w:ascii="Tahoma" w:hAnsi="Tahoma" w:cs="Tahoma"/>
          <w:sz w:val="22"/>
          <w:szCs w:val="22"/>
        </w:rPr>
        <w:t xml:space="preserve"> sygnalizacji świetlnej</w:t>
      </w:r>
      <w:r w:rsidR="006714F7" w:rsidRPr="00E94C23">
        <w:rPr>
          <w:rFonts w:ascii="Tahoma" w:hAnsi="Tahoma" w:cs="Tahoma"/>
          <w:sz w:val="22"/>
          <w:szCs w:val="22"/>
        </w:rPr>
        <w:t xml:space="preserve"> w zakresie branży elektrycznej,</w:t>
      </w:r>
      <w:r w:rsidRPr="00E94C23">
        <w:rPr>
          <w:rFonts w:ascii="Tahoma" w:hAnsi="Tahoma" w:cs="Tahoma"/>
          <w:sz w:val="22"/>
          <w:szCs w:val="22"/>
        </w:rPr>
        <w:t xml:space="preserve"> lokalizacji </w:t>
      </w:r>
      <w:r w:rsidR="006714F7" w:rsidRPr="00E94C23">
        <w:rPr>
          <w:rFonts w:ascii="Tahoma" w:hAnsi="Tahoma" w:cs="Tahoma"/>
          <w:sz w:val="22"/>
          <w:szCs w:val="22"/>
        </w:rPr>
        <w:t xml:space="preserve">i sposobu podłączenia </w:t>
      </w:r>
      <w:r w:rsidRPr="00E94C23">
        <w:rPr>
          <w:rFonts w:ascii="Tahoma" w:hAnsi="Tahoma" w:cs="Tahoma"/>
          <w:sz w:val="22"/>
          <w:szCs w:val="22"/>
        </w:rPr>
        <w:t>urządzeń, prze</w:t>
      </w:r>
      <w:r w:rsidR="006714F7" w:rsidRPr="00E94C23">
        <w:rPr>
          <w:rFonts w:ascii="Tahoma" w:hAnsi="Tahoma" w:cs="Tahoma"/>
          <w:sz w:val="22"/>
          <w:szCs w:val="22"/>
        </w:rPr>
        <w:t>biegu kanalizacji kablowej oraz</w:t>
      </w:r>
      <w:r w:rsidRPr="00E94C23">
        <w:rPr>
          <w:rFonts w:ascii="Tahoma" w:hAnsi="Tahoma" w:cs="Tahoma"/>
          <w:sz w:val="22"/>
          <w:szCs w:val="22"/>
        </w:rPr>
        <w:t xml:space="preserve"> złoży</w:t>
      </w:r>
      <w:r w:rsidR="006714F7" w:rsidRPr="00E94C23">
        <w:rPr>
          <w:rFonts w:ascii="Tahoma" w:hAnsi="Tahoma" w:cs="Tahoma"/>
          <w:sz w:val="22"/>
          <w:szCs w:val="22"/>
        </w:rPr>
        <w:t>ć</w:t>
      </w:r>
      <w:r w:rsidRPr="00E94C23">
        <w:rPr>
          <w:rFonts w:ascii="Tahoma" w:hAnsi="Tahoma" w:cs="Tahoma"/>
          <w:sz w:val="22"/>
          <w:szCs w:val="22"/>
        </w:rPr>
        <w:t xml:space="preserve"> go do zatwierdzenia w </w:t>
      </w:r>
      <w:r w:rsidR="00B6017A">
        <w:rPr>
          <w:rFonts w:ascii="Tahoma" w:hAnsi="Tahoma" w:cs="Tahoma"/>
          <w:sz w:val="22"/>
          <w:szCs w:val="22"/>
        </w:rPr>
        <w:t xml:space="preserve">Wydziałem Inwestycji Urzędu Miasta </w:t>
      </w:r>
      <w:r w:rsidRPr="00E94C23">
        <w:rPr>
          <w:rFonts w:ascii="Tahoma" w:hAnsi="Tahoma" w:cs="Tahoma"/>
          <w:sz w:val="22"/>
          <w:szCs w:val="22"/>
        </w:rPr>
        <w:t>Gdyni.</w:t>
      </w:r>
    </w:p>
    <w:p w14:paraId="69AC5D63" w14:textId="30569C5A" w:rsidR="006714F7" w:rsidRPr="00E94C23" w:rsidRDefault="006714F7" w:rsidP="00E94C23">
      <w:pPr>
        <w:pStyle w:val="Akapitzlist"/>
        <w:numPr>
          <w:ilvl w:val="0"/>
          <w:numId w:val="4"/>
        </w:numPr>
        <w:spacing w:after="0" w:line="276" w:lineRule="auto"/>
        <w:ind w:hanging="357"/>
        <w:jc w:val="both"/>
        <w:rPr>
          <w:rFonts w:ascii="Tahoma" w:hAnsi="Tahoma" w:cs="Tahoma"/>
          <w:sz w:val="22"/>
          <w:szCs w:val="22"/>
        </w:rPr>
      </w:pPr>
      <w:r w:rsidRPr="00E94C23">
        <w:rPr>
          <w:rFonts w:ascii="Tahoma" w:hAnsi="Tahoma" w:cs="Tahoma"/>
          <w:sz w:val="22"/>
          <w:szCs w:val="22"/>
        </w:rPr>
        <w:t>Sygnalizację świetlną dla projektowanych przejść dla pieszych</w:t>
      </w:r>
      <w:r w:rsidR="00C77C92" w:rsidRPr="00E94C23">
        <w:rPr>
          <w:rFonts w:ascii="Tahoma" w:hAnsi="Tahoma" w:cs="Tahoma"/>
          <w:sz w:val="22"/>
          <w:szCs w:val="22"/>
        </w:rPr>
        <w:t xml:space="preserve">, </w:t>
      </w:r>
      <w:r w:rsidR="002A5798">
        <w:rPr>
          <w:rFonts w:ascii="Tahoma" w:hAnsi="Tahoma" w:cs="Tahoma"/>
          <w:sz w:val="22"/>
          <w:szCs w:val="22"/>
        </w:rPr>
        <w:t>kontrapasa autobusowego</w:t>
      </w:r>
      <w:r w:rsidR="00C77C92" w:rsidRPr="00E94C23">
        <w:rPr>
          <w:rFonts w:ascii="Tahoma" w:hAnsi="Tahoma" w:cs="Tahoma"/>
          <w:sz w:val="22"/>
          <w:szCs w:val="22"/>
        </w:rPr>
        <w:t xml:space="preserve"> oraz przejazd</w:t>
      </w:r>
      <w:r w:rsidR="002A5798">
        <w:rPr>
          <w:rFonts w:ascii="Tahoma" w:hAnsi="Tahoma" w:cs="Tahoma"/>
          <w:sz w:val="22"/>
          <w:szCs w:val="22"/>
        </w:rPr>
        <w:t>ów</w:t>
      </w:r>
      <w:r w:rsidR="00C77C92" w:rsidRPr="00E94C23">
        <w:rPr>
          <w:rFonts w:ascii="Tahoma" w:hAnsi="Tahoma" w:cs="Tahoma"/>
          <w:sz w:val="22"/>
          <w:szCs w:val="22"/>
        </w:rPr>
        <w:t xml:space="preserve"> rowerow</w:t>
      </w:r>
      <w:r w:rsidR="002A5798">
        <w:rPr>
          <w:rFonts w:ascii="Tahoma" w:hAnsi="Tahoma" w:cs="Tahoma"/>
          <w:sz w:val="22"/>
          <w:szCs w:val="22"/>
        </w:rPr>
        <w:t>ych</w:t>
      </w:r>
      <w:r w:rsidR="00C77C92" w:rsidRPr="00E94C23">
        <w:rPr>
          <w:rFonts w:ascii="Tahoma" w:hAnsi="Tahoma" w:cs="Tahoma"/>
          <w:sz w:val="22"/>
          <w:szCs w:val="22"/>
        </w:rPr>
        <w:t xml:space="preserve"> </w:t>
      </w:r>
      <w:r w:rsidRPr="00E94C23">
        <w:rPr>
          <w:rFonts w:ascii="Tahoma" w:hAnsi="Tahoma" w:cs="Tahoma"/>
          <w:sz w:val="22"/>
          <w:szCs w:val="22"/>
        </w:rPr>
        <w:t>należy rozbudować w oparciu o</w:t>
      </w:r>
      <w:r w:rsidR="001D6B7D" w:rsidRPr="00E94C23">
        <w:rPr>
          <w:rFonts w:ascii="Tahoma" w:hAnsi="Tahoma" w:cs="Tahoma"/>
          <w:sz w:val="22"/>
          <w:szCs w:val="22"/>
        </w:rPr>
        <w:t> </w:t>
      </w:r>
      <w:r w:rsidRPr="00E94C23">
        <w:rPr>
          <w:rFonts w:ascii="Tahoma" w:hAnsi="Tahoma" w:cs="Tahoma"/>
          <w:sz w:val="22"/>
          <w:szCs w:val="22"/>
        </w:rPr>
        <w:t xml:space="preserve">istniejące sterowniki sygnalizacji świetlnej. </w:t>
      </w:r>
    </w:p>
    <w:p w14:paraId="148786AB" w14:textId="2C24253B" w:rsidR="006714F7" w:rsidRPr="00E94C23" w:rsidRDefault="006714F7" w:rsidP="00E94C23">
      <w:pPr>
        <w:pStyle w:val="Akapitzlist"/>
        <w:numPr>
          <w:ilvl w:val="0"/>
          <w:numId w:val="4"/>
        </w:numPr>
        <w:spacing w:after="0" w:line="276" w:lineRule="auto"/>
        <w:ind w:hanging="357"/>
        <w:jc w:val="both"/>
        <w:rPr>
          <w:rFonts w:ascii="Tahoma" w:hAnsi="Tahoma" w:cs="Tahoma"/>
          <w:sz w:val="22"/>
          <w:szCs w:val="22"/>
        </w:rPr>
      </w:pPr>
      <w:r w:rsidRPr="00E94C23">
        <w:rPr>
          <w:rFonts w:ascii="Tahoma" w:hAnsi="Tahoma" w:cs="Tahoma"/>
          <w:sz w:val="22"/>
          <w:szCs w:val="22"/>
        </w:rPr>
        <w:t>Wszystkie nowoprojektowane urządzenia muszą być zgodne i kompatybilne z</w:t>
      </w:r>
      <w:r w:rsidR="002A5798">
        <w:rPr>
          <w:rFonts w:ascii="Tahoma" w:hAnsi="Tahoma" w:cs="Tahoma"/>
          <w:sz w:val="22"/>
          <w:szCs w:val="22"/>
        </w:rPr>
        <w:t> </w:t>
      </w:r>
      <w:r w:rsidRPr="00E94C23">
        <w:rPr>
          <w:rFonts w:ascii="Tahoma" w:hAnsi="Tahoma" w:cs="Tahoma"/>
          <w:sz w:val="22"/>
          <w:szCs w:val="22"/>
        </w:rPr>
        <w:t>istniejącymi już urządzeniami na tych skrzyżowaniach.</w:t>
      </w:r>
    </w:p>
    <w:p w14:paraId="2E461095" w14:textId="6956E749" w:rsidR="006714F7" w:rsidRPr="00E94C23" w:rsidRDefault="006714F7" w:rsidP="00E94C23">
      <w:pPr>
        <w:pStyle w:val="Akapitzlist"/>
        <w:numPr>
          <w:ilvl w:val="0"/>
          <w:numId w:val="4"/>
        </w:numPr>
        <w:spacing w:after="0" w:line="276" w:lineRule="auto"/>
        <w:ind w:hanging="357"/>
        <w:jc w:val="both"/>
        <w:rPr>
          <w:rFonts w:ascii="Tahoma" w:hAnsi="Tahoma" w:cs="Tahoma"/>
          <w:sz w:val="22"/>
          <w:szCs w:val="22"/>
        </w:rPr>
      </w:pPr>
      <w:r w:rsidRPr="00E94C23">
        <w:rPr>
          <w:rFonts w:ascii="Tahoma" w:hAnsi="Tahoma" w:cs="Tahoma"/>
          <w:sz w:val="22"/>
          <w:szCs w:val="22"/>
        </w:rPr>
        <w:t xml:space="preserve">Grupy sygnalizacyjne dla pieszych </w:t>
      </w:r>
      <w:r w:rsidR="00F46E40" w:rsidRPr="00E94C23">
        <w:rPr>
          <w:rFonts w:ascii="Tahoma" w:hAnsi="Tahoma" w:cs="Tahoma"/>
          <w:sz w:val="22"/>
          <w:szCs w:val="22"/>
        </w:rPr>
        <w:t>w przypadku</w:t>
      </w:r>
      <w:r w:rsidR="000D3FD2" w:rsidRPr="00E94C23">
        <w:rPr>
          <w:rFonts w:ascii="Tahoma" w:hAnsi="Tahoma" w:cs="Tahoma"/>
          <w:sz w:val="22"/>
          <w:szCs w:val="22"/>
        </w:rPr>
        <w:t xml:space="preserve"> </w:t>
      </w:r>
      <w:r w:rsidRPr="00E94C23">
        <w:rPr>
          <w:rFonts w:ascii="Tahoma" w:hAnsi="Tahoma" w:cs="Tahoma"/>
          <w:sz w:val="22"/>
          <w:szCs w:val="22"/>
        </w:rPr>
        <w:t>skrzyżowa</w:t>
      </w:r>
      <w:r w:rsidR="001D6B7D" w:rsidRPr="00E94C23">
        <w:rPr>
          <w:rFonts w:ascii="Tahoma" w:hAnsi="Tahoma" w:cs="Tahoma"/>
          <w:sz w:val="22"/>
          <w:szCs w:val="22"/>
        </w:rPr>
        <w:t>ń</w:t>
      </w:r>
      <w:r w:rsidRPr="00E94C23">
        <w:rPr>
          <w:rFonts w:ascii="Tahoma" w:hAnsi="Tahoma" w:cs="Tahoma"/>
          <w:sz w:val="22"/>
          <w:szCs w:val="22"/>
        </w:rPr>
        <w:t xml:space="preserve"> </w:t>
      </w:r>
      <w:r w:rsidR="000D3FD2" w:rsidRPr="00E94C23">
        <w:rPr>
          <w:rFonts w:ascii="Tahoma" w:hAnsi="Tahoma" w:cs="Tahoma"/>
          <w:sz w:val="22"/>
          <w:szCs w:val="22"/>
        </w:rPr>
        <w:t>ul. Władysława IV z ul.</w:t>
      </w:r>
      <w:r w:rsidR="001D6B7D" w:rsidRPr="00E94C23">
        <w:rPr>
          <w:rFonts w:ascii="Tahoma" w:hAnsi="Tahoma" w:cs="Tahoma"/>
          <w:sz w:val="22"/>
          <w:szCs w:val="22"/>
        </w:rPr>
        <w:t> </w:t>
      </w:r>
      <w:r w:rsidR="000D3FD2" w:rsidRPr="00E94C23">
        <w:rPr>
          <w:rFonts w:ascii="Tahoma" w:hAnsi="Tahoma" w:cs="Tahoma"/>
          <w:sz w:val="22"/>
          <w:szCs w:val="22"/>
        </w:rPr>
        <w:t>Armii Krajowej</w:t>
      </w:r>
      <w:r w:rsidR="001D6B7D" w:rsidRPr="00E94C23">
        <w:rPr>
          <w:rFonts w:ascii="Tahoma" w:hAnsi="Tahoma" w:cs="Tahoma"/>
          <w:sz w:val="22"/>
          <w:szCs w:val="22"/>
        </w:rPr>
        <w:t xml:space="preserve"> oraz</w:t>
      </w:r>
      <w:r w:rsidR="000D3FD2" w:rsidRPr="00E94C23">
        <w:rPr>
          <w:rFonts w:ascii="Tahoma" w:hAnsi="Tahoma" w:cs="Tahoma"/>
          <w:sz w:val="22"/>
          <w:szCs w:val="22"/>
        </w:rPr>
        <w:t xml:space="preserve"> </w:t>
      </w:r>
      <w:r w:rsidR="00514680" w:rsidRPr="00E94C23">
        <w:rPr>
          <w:rFonts w:ascii="Tahoma" w:hAnsi="Tahoma" w:cs="Tahoma"/>
          <w:sz w:val="22"/>
          <w:szCs w:val="22"/>
        </w:rPr>
        <w:t xml:space="preserve">Władysława IV z </w:t>
      </w:r>
      <w:r w:rsidR="000D3FD2" w:rsidRPr="00E94C23">
        <w:rPr>
          <w:rFonts w:ascii="Tahoma" w:hAnsi="Tahoma" w:cs="Tahoma"/>
          <w:sz w:val="22"/>
          <w:szCs w:val="22"/>
        </w:rPr>
        <w:t xml:space="preserve">ul. Obrońców Wybrzeża </w:t>
      </w:r>
      <w:r w:rsidRPr="00E94C23">
        <w:rPr>
          <w:rFonts w:ascii="Tahoma" w:hAnsi="Tahoma" w:cs="Tahoma"/>
          <w:sz w:val="22"/>
          <w:szCs w:val="22"/>
        </w:rPr>
        <w:t>muszą zostać zaprojektowane jako dwie odrębne grupy sygnalizacyjne dla każdej z</w:t>
      </w:r>
      <w:r w:rsidR="000D3FD2" w:rsidRPr="00E94C23">
        <w:rPr>
          <w:rFonts w:ascii="Tahoma" w:hAnsi="Tahoma" w:cs="Tahoma"/>
          <w:sz w:val="22"/>
          <w:szCs w:val="22"/>
        </w:rPr>
        <w:t xml:space="preserve"> </w:t>
      </w:r>
      <w:r w:rsidRPr="00E94C23">
        <w:rPr>
          <w:rFonts w:ascii="Tahoma" w:hAnsi="Tahoma" w:cs="Tahoma"/>
          <w:sz w:val="22"/>
          <w:szCs w:val="22"/>
        </w:rPr>
        <w:t xml:space="preserve">jezdni </w:t>
      </w:r>
      <w:r w:rsidRPr="00E94C23">
        <w:rPr>
          <w:rFonts w:ascii="Tahoma" w:hAnsi="Tahoma" w:cs="Tahoma"/>
          <w:sz w:val="22"/>
          <w:szCs w:val="22"/>
        </w:rPr>
        <w:lastRenderedPageBreak/>
        <w:t>ul.</w:t>
      </w:r>
      <w:r w:rsidR="00514680" w:rsidRPr="00E94C23">
        <w:rPr>
          <w:rFonts w:ascii="Tahoma" w:hAnsi="Tahoma" w:cs="Tahoma"/>
          <w:sz w:val="22"/>
          <w:szCs w:val="22"/>
        </w:rPr>
        <w:t> </w:t>
      </w:r>
      <w:r w:rsidRPr="00E94C23">
        <w:rPr>
          <w:rFonts w:ascii="Tahoma" w:hAnsi="Tahoma" w:cs="Tahoma"/>
          <w:sz w:val="22"/>
          <w:szCs w:val="22"/>
        </w:rPr>
        <w:t xml:space="preserve">Władysława IV. </w:t>
      </w:r>
      <w:r w:rsidR="00F46E40" w:rsidRPr="00E94C23">
        <w:rPr>
          <w:rFonts w:ascii="Tahoma" w:hAnsi="Tahoma" w:cs="Tahoma"/>
          <w:sz w:val="22"/>
          <w:szCs w:val="22"/>
        </w:rPr>
        <w:t>W związku z tym należy przewidzieć i zaprojektować ewentualną rozbudowę istniejących sterowników sygnalizacji świetlnej o odpowiednią liczbę modułów niezbędnych do obsługi wszystkich grup sygnalizacyjnych oraz urządzeń detekcji.</w:t>
      </w:r>
    </w:p>
    <w:p w14:paraId="51A28006" w14:textId="77777777" w:rsidR="00021924" w:rsidRDefault="00021924" w:rsidP="00021924">
      <w:pPr>
        <w:pStyle w:val="Akapitzlist"/>
        <w:numPr>
          <w:ilvl w:val="0"/>
          <w:numId w:val="4"/>
        </w:numPr>
        <w:spacing w:after="0" w:line="276" w:lineRule="auto"/>
        <w:jc w:val="both"/>
      </w:pPr>
      <w:r>
        <w:rPr>
          <w:rFonts w:ascii="Tahoma" w:hAnsi="Tahoma" w:cs="Tahoma"/>
          <w:sz w:val="22"/>
          <w:szCs w:val="22"/>
        </w:rPr>
        <w:t>W przypadku skrzyżowania ul. Władysława IV z ul. Obrońców Wybrzeża należy zaprojektować przyciski dla pieszych służące do zgłaszania obecności pieszych. Przyciski te muszą być analogiczne do tych zastosowanych na drugim, istniejącym już przejściu przez ul. Władysława IV. Na pozostałych nowo wytyczonych przejściach dla pieszych nie przewiduje się montażu przycisków dla pieszych, dlatego nie należy ich projektować.</w:t>
      </w:r>
    </w:p>
    <w:p w14:paraId="62165466" w14:textId="77777777" w:rsidR="00021924" w:rsidRDefault="00021924" w:rsidP="00021924">
      <w:pPr>
        <w:pStyle w:val="Akapitzlist"/>
        <w:numPr>
          <w:ilvl w:val="0"/>
          <w:numId w:val="4"/>
        </w:numPr>
        <w:spacing w:after="0" w:line="276" w:lineRule="auto"/>
        <w:jc w:val="both"/>
      </w:pPr>
      <w:r>
        <w:rPr>
          <w:rFonts w:ascii="Tahoma" w:hAnsi="Tahoma" w:cs="Tahoma"/>
          <w:sz w:val="22"/>
          <w:szCs w:val="22"/>
        </w:rPr>
        <w:t>W przypadku nowo wytyczonych przejazdów rowerowych nie przewiduje się montażu przycisków dla rowerzystów, dlatego nie należy ich projektować.</w:t>
      </w:r>
    </w:p>
    <w:p w14:paraId="2F237D23" w14:textId="01A15898" w:rsidR="00F46E40" w:rsidRPr="00E94C23" w:rsidRDefault="00F46E40" w:rsidP="00E94C23">
      <w:pPr>
        <w:pStyle w:val="Akapitzlist"/>
        <w:numPr>
          <w:ilvl w:val="0"/>
          <w:numId w:val="4"/>
        </w:numPr>
        <w:spacing w:after="0" w:line="276" w:lineRule="auto"/>
        <w:ind w:hanging="357"/>
        <w:jc w:val="both"/>
        <w:rPr>
          <w:rFonts w:ascii="Tahoma" w:hAnsi="Tahoma" w:cs="Tahoma"/>
          <w:sz w:val="22"/>
          <w:szCs w:val="22"/>
        </w:rPr>
      </w:pPr>
      <w:r w:rsidRPr="00E94C23">
        <w:rPr>
          <w:rFonts w:ascii="Tahoma" w:hAnsi="Tahoma" w:cs="Tahoma"/>
          <w:sz w:val="22"/>
          <w:szCs w:val="22"/>
        </w:rPr>
        <w:t>W przypadku konieczności zmiany lokalizacji istniejących linii warunkowego zatrzymania (w oparciu o projekt organizacji ruchu) należy zaprojektować przeniesienie wszystkich urządzeń sygnalizacji świetlnej (konstrukcji wsporczych, sygnalizatorów oraz urządzeń detekcji – pętli indukcyjnych), tak aby zachowały one swoją aktualną funkcjonalność, natomiast ich lokalizacja była zgodne z wymaganiami zawartymi w</w:t>
      </w:r>
      <w:r w:rsidR="002A5798">
        <w:rPr>
          <w:rFonts w:ascii="Tahoma" w:hAnsi="Tahoma" w:cs="Tahoma"/>
          <w:sz w:val="22"/>
          <w:szCs w:val="22"/>
        </w:rPr>
        <w:t> </w:t>
      </w:r>
      <w:r w:rsidRPr="00E94C23">
        <w:rPr>
          <w:rFonts w:ascii="Tahoma" w:hAnsi="Tahoma" w:cs="Tahoma"/>
          <w:sz w:val="22"/>
          <w:szCs w:val="22"/>
        </w:rPr>
        <w:t>„</w:t>
      </w:r>
      <w:r w:rsidRPr="00E94C23">
        <w:rPr>
          <w:rFonts w:ascii="Tahoma" w:hAnsi="Tahoma" w:cs="Tahoma"/>
          <w:i/>
          <w:sz w:val="22"/>
          <w:szCs w:val="22"/>
        </w:rPr>
        <w:t>Rozporządzeniu Ministra Infrastruktury z dnia 3 lipca 2003 r. w sprawie szczegółowych warunków technicznych dla znaków i sygnałów drogowych oraz urządzeń bezpieczeństwa ruchu drogowego i warunków ich umieszczania na drogach</w:t>
      </w:r>
      <w:r w:rsidRPr="00E94C23">
        <w:rPr>
          <w:rFonts w:ascii="Tahoma" w:hAnsi="Tahoma" w:cs="Tahoma"/>
          <w:sz w:val="22"/>
          <w:szCs w:val="22"/>
        </w:rPr>
        <w:t>.”</w:t>
      </w:r>
    </w:p>
    <w:p w14:paraId="7F847423" w14:textId="77777777" w:rsidR="00DD7126" w:rsidRPr="00E94C23" w:rsidRDefault="00F46E40" w:rsidP="00E94C23">
      <w:pPr>
        <w:pStyle w:val="Akapitzlist1"/>
        <w:numPr>
          <w:ilvl w:val="0"/>
          <w:numId w:val="4"/>
        </w:numPr>
        <w:spacing w:before="0" w:line="276" w:lineRule="auto"/>
        <w:ind w:hanging="357"/>
        <w:jc w:val="both"/>
        <w:rPr>
          <w:rFonts w:ascii="Tahoma" w:hAnsi="Tahoma" w:cs="Tahoma"/>
          <w:color w:val="auto"/>
          <w:sz w:val="22"/>
          <w:szCs w:val="22"/>
        </w:rPr>
      </w:pPr>
      <w:r w:rsidRPr="00E94C23">
        <w:rPr>
          <w:rFonts w:ascii="Tahoma" w:hAnsi="Tahoma" w:cs="Tahoma"/>
          <w:color w:val="auto"/>
          <w:sz w:val="22"/>
          <w:szCs w:val="22"/>
        </w:rPr>
        <w:t xml:space="preserve">Zamawiający dokona bilansu mocy wskazującego zdolność istniejącej instalacji do przyłączenia dodatkowych urządzeń. W przypadku, kiedy moc przyłączeniowa będzie niewystarczająca, Wykonawca dokona w imieniu Zamawiającego wystąpienia do operatora energii elektrycznej z wnioskiem o zwiększenie mocy przyłączeniowej dla punktów poboru energii, dla których będzie to konieczne. </w:t>
      </w:r>
    </w:p>
    <w:p w14:paraId="1C3A1104" w14:textId="77777777" w:rsidR="00EF765C" w:rsidRPr="00E94C23" w:rsidRDefault="00EF765C" w:rsidP="00E94C23">
      <w:pPr>
        <w:pStyle w:val="Akapitzlist"/>
        <w:widowControl/>
        <w:numPr>
          <w:ilvl w:val="0"/>
          <w:numId w:val="4"/>
        </w:numPr>
        <w:suppressAutoHyphens w:val="0"/>
        <w:spacing w:after="0" w:line="276" w:lineRule="auto"/>
        <w:ind w:hanging="357"/>
        <w:jc w:val="both"/>
        <w:rPr>
          <w:rFonts w:ascii="Tahoma" w:hAnsi="Tahoma" w:cs="Tahoma"/>
          <w:sz w:val="22"/>
          <w:szCs w:val="22"/>
        </w:rPr>
      </w:pPr>
      <w:r w:rsidRPr="00E94C23">
        <w:rPr>
          <w:rFonts w:ascii="Tahoma" w:hAnsi="Tahoma" w:cs="Tahoma"/>
          <w:sz w:val="22"/>
          <w:szCs w:val="22"/>
        </w:rPr>
        <w:t>W przypadku projektowania doświetlenia przejść dla pieszyc</w:t>
      </w:r>
      <w:r w:rsidR="003E7451" w:rsidRPr="00E94C23">
        <w:rPr>
          <w:rFonts w:ascii="Tahoma" w:hAnsi="Tahoma" w:cs="Tahoma"/>
          <w:sz w:val="22"/>
          <w:szCs w:val="22"/>
        </w:rPr>
        <w:t>h tam,</w:t>
      </w:r>
      <w:r w:rsidRPr="00E94C23">
        <w:rPr>
          <w:rFonts w:ascii="Tahoma" w:hAnsi="Tahoma" w:cs="Tahoma"/>
          <w:sz w:val="22"/>
          <w:szCs w:val="22"/>
        </w:rPr>
        <w:t xml:space="preserve"> gdzie to możliwe należy zastosować wspólne konstrukcje wsporcze dla elementów sygnalizacji świetlnej oraz elementów doświetlających przejście (tzw. maszty sygnalizacyjno-oświetleniowe)</w:t>
      </w:r>
    </w:p>
    <w:p w14:paraId="7AAB7EF2" w14:textId="77777777" w:rsidR="004B49B0" w:rsidRPr="00E94C23" w:rsidRDefault="004B49B0" w:rsidP="00E94C23">
      <w:pPr>
        <w:pStyle w:val="Akapitzlist"/>
        <w:widowControl/>
        <w:numPr>
          <w:ilvl w:val="0"/>
          <w:numId w:val="4"/>
        </w:numPr>
        <w:suppressAutoHyphens w:val="0"/>
        <w:spacing w:after="0" w:line="276" w:lineRule="auto"/>
        <w:ind w:hanging="357"/>
        <w:jc w:val="both"/>
        <w:rPr>
          <w:rFonts w:ascii="Tahoma" w:hAnsi="Tahoma" w:cs="Tahoma"/>
          <w:sz w:val="22"/>
          <w:szCs w:val="22"/>
        </w:rPr>
      </w:pPr>
      <w:r w:rsidRPr="00E94C23">
        <w:rPr>
          <w:rFonts w:ascii="Tahoma" w:hAnsi="Tahoma" w:cs="Tahoma"/>
          <w:sz w:val="22"/>
          <w:szCs w:val="22"/>
        </w:rPr>
        <w:t xml:space="preserve">Wszystkie projektowane rozwiązania w zakresie sygnalizacji świetlnej muszą być zgodne z zapisami zawartymi w następujących dokumentach: </w:t>
      </w:r>
    </w:p>
    <w:p w14:paraId="20320878" w14:textId="77777777" w:rsidR="004B49B0" w:rsidRPr="00E94C23" w:rsidRDefault="004B49B0" w:rsidP="00E94C23">
      <w:pPr>
        <w:pStyle w:val="Akapitzlist"/>
        <w:widowControl/>
        <w:numPr>
          <w:ilvl w:val="1"/>
          <w:numId w:val="19"/>
        </w:numPr>
        <w:suppressAutoHyphens w:val="0"/>
        <w:spacing w:after="0" w:line="276" w:lineRule="auto"/>
        <w:ind w:hanging="357"/>
        <w:jc w:val="both"/>
        <w:rPr>
          <w:rFonts w:ascii="Tahoma" w:hAnsi="Tahoma" w:cs="Tahoma"/>
          <w:i/>
          <w:sz w:val="22"/>
          <w:szCs w:val="22"/>
        </w:rPr>
      </w:pPr>
      <w:r w:rsidRPr="00E94C23">
        <w:rPr>
          <w:rFonts w:ascii="Tahoma" w:hAnsi="Tahoma" w:cs="Tahoma"/>
          <w:i/>
          <w:sz w:val="22"/>
          <w:szCs w:val="22"/>
        </w:rPr>
        <w:t>Rozporządzenie Ministra Infrastruktury w sprawie szczegółowych warunków technicznych dla znaków i sygnałów drogowych oraz urządzeń bezpieczeństwa ruchu drogowego i warunków ich umieszczania na drogach;</w:t>
      </w:r>
    </w:p>
    <w:p w14:paraId="3A7BB57E" w14:textId="2F6B0DD9" w:rsidR="004B49B0" w:rsidRPr="00E94C23" w:rsidRDefault="004B49B0" w:rsidP="00E94C23">
      <w:pPr>
        <w:pStyle w:val="Akapitzlist"/>
        <w:widowControl/>
        <w:numPr>
          <w:ilvl w:val="1"/>
          <w:numId w:val="19"/>
        </w:numPr>
        <w:suppressAutoHyphens w:val="0"/>
        <w:spacing w:after="0" w:line="276" w:lineRule="auto"/>
        <w:ind w:hanging="357"/>
        <w:jc w:val="both"/>
        <w:rPr>
          <w:rFonts w:ascii="Tahoma" w:hAnsi="Tahoma" w:cs="Tahoma"/>
          <w:i/>
          <w:sz w:val="22"/>
          <w:szCs w:val="22"/>
        </w:rPr>
      </w:pPr>
      <w:r w:rsidRPr="00E94C23">
        <w:rPr>
          <w:rFonts w:ascii="Tahoma" w:hAnsi="Tahoma" w:cs="Tahoma"/>
          <w:i/>
          <w:sz w:val="22"/>
          <w:szCs w:val="22"/>
        </w:rPr>
        <w:t>Rozporządzenie Ministrów Infrastruktury oraz Spraw Wewnętrznych i</w:t>
      </w:r>
      <w:r w:rsidR="002A5798">
        <w:rPr>
          <w:rFonts w:ascii="Tahoma" w:hAnsi="Tahoma" w:cs="Tahoma"/>
          <w:i/>
          <w:sz w:val="22"/>
          <w:szCs w:val="22"/>
        </w:rPr>
        <w:t> </w:t>
      </w:r>
      <w:r w:rsidRPr="00E94C23">
        <w:rPr>
          <w:rFonts w:ascii="Tahoma" w:hAnsi="Tahoma" w:cs="Tahoma"/>
          <w:i/>
          <w:sz w:val="22"/>
          <w:szCs w:val="22"/>
        </w:rPr>
        <w:t>Administracji w sprawie znaków i sygnałów drogowych;</w:t>
      </w:r>
    </w:p>
    <w:p w14:paraId="36EE6AB5" w14:textId="77777777" w:rsidR="004B49B0" w:rsidRPr="00E94C23" w:rsidRDefault="004B49B0" w:rsidP="00E94C23">
      <w:pPr>
        <w:pStyle w:val="Akapitzlist"/>
        <w:widowControl/>
        <w:numPr>
          <w:ilvl w:val="1"/>
          <w:numId w:val="19"/>
        </w:numPr>
        <w:suppressAutoHyphens w:val="0"/>
        <w:spacing w:after="0" w:line="276" w:lineRule="auto"/>
        <w:ind w:hanging="357"/>
        <w:jc w:val="both"/>
        <w:rPr>
          <w:rFonts w:ascii="Tahoma" w:hAnsi="Tahoma" w:cs="Tahoma"/>
          <w:sz w:val="22"/>
          <w:szCs w:val="22"/>
        </w:rPr>
      </w:pPr>
      <w:r w:rsidRPr="00E94C23">
        <w:rPr>
          <w:rFonts w:ascii="Tahoma" w:hAnsi="Tahoma" w:cs="Tahoma"/>
          <w:sz w:val="22"/>
          <w:szCs w:val="22"/>
        </w:rPr>
        <w:t>wszystkie inne stosowne przepisy wynikające z obowiązującego prawa.</w:t>
      </w:r>
    </w:p>
    <w:p w14:paraId="7380639D" w14:textId="77777777" w:rsidR="004B49B0" w:rsidRPr="00E94C23" w:rsidRDefault="004B49B0" w:rsidP="00E94C23">
      <w:pPr>
        <w:pStyle w:val="Akapitzlist"/>
        <w:widowControl/>
        <w:numPr>
          <w:ilvl w:val="0"/>
          <w:numId w:val="4"/>
        </w:numPr>
        <w:suppressAutoHyphens w:val="0"/>
        <w:spacing w:after="0" w:line="276" w:lineRule="auto"/>
        <w:ind w:hanging="357"/>
        <w:jc w:val="both"/>
        <w:rPr>
          <w:rFonts w:ascii="Tahoma" w:hAnsi="Tahoma" w:cs="Tahoma"/>
          <w:sz w:val="22"/>
          <w:szCs w:val="22"/>
        </w:rPr>
      </w:pPr>
      <w:r w:rsidRPr="00E94C23">
        <w:rPr>
          <w:rFonts w:ascii="Tahoma" w:hAnsi="Tahoma" w:cs="Tahoma"/>
          <w:sz w:val="22"/>
          <w:szCs w:val="22"/>
        </w:rPr>
        <w:t>Wszystkie projektowane elementy muszą być zgodne ze specyfikacją techniczną elementów stosowanych na pozostałych skrzyżowaniach na terenie Gdyni w systemie TRISTAR.</w:t>
      </w:r>
    </w:p>
    <w:p w14:paraId="1F7A7147" w14:textId="724340AE" w:rsidR="00DD7126" w:rsidRPr="00E94C23" w:rsidRDefault="00011187" w:rsidP="00E94C23">
      <w:pPr>
        <w:pStyle w:val="Akapitzlist"/>
        <w:numPr>
          <w:ilvl w:val="0"/>
          <w:numId w:val="4"/>
        </w:numPr>
        <w:spacing w:after="0" w:line="276" w:lineRule="auto"/>
        <w:ind w:hanging="357"/>
        <w:rPr>
          <w:rFonts w:ascii="Tahoma" w:hAnsi="Tahoma" w:cs="Tahoma"/>
          <w:sz w:val="22"/>
          <w:szCs w:val="22"/>
        </w:rPr>
      </w:pPr>
      <w:r w:rsidRPr="00E94C23">
        <w:rPr>
          <w:rFonts w:ascii="Tahoma" w:hAnsi="Tahoma" w:cs="Tahoma"/>
          <w:sz w:val="22"/>
          <w:szCs w:val="22"/>
        </w:rPr>
        <w:t xml:space="preserve">Projekty dotyczące sygnalizacji świetlnej należy </w:t>
      </w:r>
      <w:r w:rsidR="00C77C92" w:rsidRPr="00E94C23">
        <w:rPr>
          <w:rFonts w:ascii="Tahoma" w:hAnsi="Tahoma" w:cs="Tahoma"/>
          <w:sz w:val="22"/>
          <w:szCs w:val="22"/>
        </w:rPr>
        <w:t xml:space="preserve">wykonać </w:t>
      </w:r>
      <w:r w:rsidR="00644B3F" w:rsidRPr="00E94C23">
        <w:rPr>
          <w:rFonts w:ascii="Tahoma" w:hAnsi="Tahoma" w:cs="Tahoma"/>
          <w:sz w:val="22"/>
          <w:szCs w:val="22"/>
        </w:rPr>
        <w:t xml:space="preserve">według </w:t>
      </w:r>
      <w:r w:rsidR="00644B3F" w:rsidRPr="00E94C23">
        <w:rPr>
          <w:rFonts w:ascii="Tahoma" w:hAnsi="Tahoma" w:cs="Tahoma"/>
          <w:i/>
          <w:iCs/>
          <w:sz w:val="22"/>
          <w:szCs w:val="22"/>
        </w:rPr>
        <w:t>Wytyczn</w:t>
      </w:r>
      <w:r w:rsidR="00C77C92" w:rsidRPr="00E94C23">
        <w:rPr>
          <w:rFonts w:ascii="Tahoma" w:hAnsi="Tahoma" w:cs="Tahoma"/>
          <w:i/>
          <w:iCs/>
          <w:sz w:val="22"/>
          <w:szCs w:val="22"/>
        </w:rPr>
        <w:t>ych</w:t>
      </w:r>
      <w:r w:rsidR="00644B3F" w:rsidRPr="00E94C23">
        <w:rPr>
          <w:rFonts w:ascii="Tahoma" w:hAnsi="Tahoma" w:cs="Tahoma"/>
          <w:i/>
          <w:iCs/>
          <w:sz w:val="22"/>
          <w:szCs w:val="22"/>
        </w:rPr>
        <w:t xml:space="preserve"> dla projektów stałej organizacji ruchu w zakresie branży inżynierii ruchu – sygnalizacji świetlnej</w:t>
      </w:r>
      <w:r w:rsidR="00644B3F" w:rsidRPr="00E94C23">
        <w:rPr>
          <w:rFonts w:ascii="Tahoma" w:hAnsi="Tahoma" w:cs="Tahoma"/>
          <w:sz w:val="22"/>
          <w:szCs w:val="22"/>
        </w:rPr>
        <w:t xml:space="preserve"> (załącznik</w:t>
      </w:r>
      <w:r w:rsidR="00072309">
        <w:rPr>
          <w:rFonts w:ascii="Tahoma" w:hAnsi="Tahoma" w:cs="Tahoma"/>
          <w:sz w:val="22"/>
          <w:szCs w:val="22"/>
        </w:rPr>
        <w:t xml:space="preserve"> 6</w:t>
      </w:r>
      <w:r w:rsidR="00644B3F" w:rsidRPr="00E94C23">
        <w:rPr>
          <w:rFonts w:ascii="Tahoma" w:hAnsi="Tahoma" w:cs="Tahoma"/>
          <w:sz w:val="22"/>
          <w:szCs w:val="22"/>
        </w:rPr>
        <w:t xml:space="preserve">). </w:t>
      </w:r>
    </w:p>
    <w:p w14:paraId="3758725B" w14:textId="77777777" w:rsidR="00DD7126" w:rsidRPr="00E94C23" w:rsidRDefault="00011187" w:rsidP="00E94C23">
      <w:pPr>
        <w:pStyle w:val="Akapitzlist"/>
        <w:numPr>
          <w:ilvl w:val="0"/>
          <w:numId w:val="4"/>
        </w:numPr>
        <w:spacing w:after="0" w:line="276" w:lineRule="auto"/>
        <w:ind w:hanging="357"/>
        <w:jc w:val="both"/>
        <w:rPr>
          <w:rFonts w:ascii="Tahoma" w:eastAsia="TimesNewRoman" w:hAnsi="Tahoma" w:cs="Tahoma"/>
          <w:bCs/>
          <w:sz w:val="22"/>
          <w:szCs w:val="22"/>
          <w:lang w:eastAsia="pl-PL"/>
        </w:rPr>
      </w:pPr>
      <w:r w:rsidRPr="00E94C23">
        <w:rPr>
          <w:rFonts w:ascii="Tahoma" w:eastAsia="TimesNewRoman" w:hAnsi="Tahoma" w:cs="Tahoma"/>
          <w:bCs/>
          <w:sz w:val="22"/>
          <w:szCs w:val="22"/>
          <w:lang w:eastAsia="pl-PL"/>
        </w:rPr>
        <w:t xml:space="preserve">Należy zaprojektować kanalizację lokalną w celu połączenia sygnalizatorów oraz </w:t>
      </w:r>
      <w:r w:rsidRPr="00E94C23">
        <w:rPr>
          <w:rFonts w:ascii="Tahoma" w:eastAsia="TimesNewRoman" w:hAnsi="Tahoma" w:cs="Tahoma"/>
          <w:bCs/>
          <w:sz w:val="22"/>
          <w:szCs w:val="22"/>
          <w:lang w:eastAsia="pl-PL"/>
        </w:rPr>
        <w:lastRenderedPageBreak/>
        <w:t>urządzeń detekcji ze sterownikiem oraz sterownika z istniejącą szafą LWT.</w:t>
      </w:r>
    </w:p>
    <w:p w14:paraId="5727E46D" w14:textId="77777777" w:rsidR="00DD7126" w:rsidRPr="00E94C23" w:rsidRDefault="004B49B0" w:rsidP="00E94C23">
      <w:pPr>
        <w:pStyle w:val="Akapitzlist"/>
        <w:numPr>
          <w:ilvl w:val="0"/>
          <w:numId w:val="4"/>
        </w:numPr>
        <w:spacing w:after="0" w:line="276" w:lineRule="auto"/>
        <w:ind w:hanging="357"/>
        <w:jc w:val="both"/>
        <w:rPr>
          <w:rFonts w:ascii="Tahoma" w:hAnsi="Tahoma" w:cs="Tahoma"/>
          <w:sz w:val="22"/>
          <w:szCs w:val="22"/>
        </w:rPr>
      </w:pPr>
      <w:r w:rsidRPr="00E94C23">
        <w:rPr>
          <w:rFonts w:ascii="Tahoma" w:eastAsia="TimesNewRoman" w:hAnsi="Tahoma" w:cs="Tahoma"/>
          <w:bCs/>
          <w:sz w:val="22"/>
          <w:szCs w:val="22"/>
          <w:lang w:eastAsia="pl-PL"/>
        </w:rPr>
        <w:t>Docelowy sposób działania sygnalizacji świetlnej pozostaje niezmieniony tzn., że będzie ona</w:t>
      </w:r>
      <w:r w:rsidR="00011187" w:rsidRPr="00E94C23">
        <w:rPr>
          <w:rFonts w:ascii="Tahoma" w:hAnsi="Tahoma" w:cs="Tahoma"/>
          <w:sz w:val="22"/>
          <w:szCs w:val="22"/>
        </w:rPr>
        <w:t xml:space="preserve"> pracować </w:t>
      </w:r>
      <w:r w:rsidR="00A255B4" w:rsidRPr="00E94C23">
        <w:rPr>
          <w:rFonts w:ascii="Tahoma" w:hAnsi="Tahoma" w:cs="Tahoma"/>
          <w:sz w:val="22"/>
          <w:szCs w:val="22"/>
        </w:rPr>
        <w:t>jako</w:t>
      </w:r>
      <w:r w:rsidR="00011187" w:rsidRPr="00E94C23">
        <w:rPr>
          <w:rFonts w:ascii="Tahoma" w:hAnsi="Tahoma" w:cs="Tahoma"/>
          <w:sz w:val="22"/>
          <w:szCs w:val="22"/>
        </w:rPr>
        <w:t xml:space="preserve"> akomodacyjna acykliczna realizując diagramy sterowania fazowego w zależności od zakresu wzbudzeń pochodzących z systemów detekcji.</w:t>
      </w:r>
    </w:p>
    <w:p w14:paraId="3072FB7F" w14:textId="77777777" w:rsidR="00DD7126" w:rsidRPr="00E94C23" w:rsidRDefault="00011187" w:rsidP="00E94C23">
      <w:pPr>
        <w:pStyle w:val="Akapitzlist"/>
        <w:numPr>
          <w:ilvl w:val="0"/>
          <w:numId w:val="4"/>
        </w:numPr>
        <w:spacing w:after="0" w:line="276" w:lineRule="auto"/>
        <w:ind w:hanging="357"/>
        <w:jc w:val="both"/>
        <w:rPr>
          <w:rFonts w:ascii="Tahoma" w:hAnsi="Tahoma" w:cs="Tahoma"/>
          <w:sz w:val="22"/>
          <w:szCs w:val="22"/>
        </w:rPr>
      </w:pPr>
      <w:r w:rsidRPr="00E94C23">
        <w:rPr>
          <w:rFonts w:ascii="Tahoma" w:hAnsi="Tahoma" w:cs="Tahoma"/>
          <w:sz w:val="22"/>
          <w:szCs w:val="22"/>
        </w:rPr>
        <w:t>Lokalizacja projektowanych masztów oraz znaków musi uwzględniać zachowanie skrajni jezdni i chodnika. Nie dopuszcza się lokalizacji masztów sygnalizatorów ani słupków na środku chodnika</w:t>
      </w:r>
      <w:r w:rsidR="00EF765C" w:rsidRPr="00E94C23">
        <w:rPr>
          <w:rFonts w:ascii="Tahoma" w:hAnsi="Tahoma" w:cs="Tahoma"/>
          <w:sz w:val="22"/>
          <w:szCs w:val="22"/>
        </w:rPr>
        <w:t>, ani w świetle przejść dla pieszych.</w:t>
      </w:r>
      <w:r w:rsidRPr="00E94C23">
        <w:rPr>
          <w:rFonts w:ascii="Tahoma" w:hAnsi="Tahoma" w:cs="Tahoma"/>
          <w:sz w:val="22"/>
          <w:szCs w:val="22"/>
        </w:rPr>
        <w:t xml:space="preserve"> Maszty sygnalizacyjne muszą być pokryte powłoką „antygraffiti” </w:t>
      </w:r>
      <w:r w:rsidR="00EF765C" w:rsidRPr="00E94C23">
        <w:rPr>
          <w:rFonts w:ascii="Tahoma" w:hAnsi="Tahoma" w:cs="Tahoma"/>
          <w:sz w:val="22"/>
          <w:szCs w:val="22"/>
        </w:rPr>
        <w:t xml:space="preserve">do wysokości min. 2 metrów </w:t>
      </w:r>
      <w:r w:rsidRPr="00E94C23">
        <w:rPr>
          <w:rFonts w:ascii="Tahoma" w:hAnsi="Tahoma" w:cs="Tahoma"/>
          <w:sz w:val="22"/>
          <w:szCs w:val="22"/>
        </w:rPr>
        <w:t>oraz powłoką malarską w kolorze RAL 7040.</w:t>
      </w:r>
    </w:p>
    <w:p w14:paraId="4626FF11" w14:textId="77777777" w:rsidR="00DD7126" w:rsidRPr="00E94C23" w:rsidRDefault="00011187" w:rsidP="00E94C23">
      <w:pPr>
        <w:pStyle w:val="Akapitzlist"/>
        <w:numPr>
          <w:ilvl w:val="0"/>
          <w:numId w:val="4"/>
        </w:numPr>
        <w:spacing w:after="0" w:line="276" w:lineRule="auto"/>
        <w:ind w:hanging="357"/>
        <w:jc w:val="both"/>
        <w:rPr>
          <w:rFonts w:ascii="Tahoma" w:hAnsi="Tahoma" w:cs="Tahoma"/>
          <w:sz w:val="22"/>
          <w:szCs w:val="22"/>
        </w:rPr>
      </w:pPr>
      <w:r w:rsidRPr="00E94C23">
        <w:rPr>
          <w:rFonts w:ascii="Tahoma" w:hAnsi="Tahoma" w:cs="Tahoma"/>
          <w:sz w:val="22"/>
          <w:szCs w:val="22"/>
        </w:rPr>
        <w:t>Lokalizacj</w:t>
      </w:r>
      <w:r w:rsidR="00E318F7" w:rsidRPr="00E94C23">
        <w:rPr>
          <w:rFonts w:ascii="Tahoma" w:hAnsi="Tahoma" w:cs="Tahoma"/>
          <w:sz w:val="22"/>
          <w:szCs w:val="22"/>
        </w:rPr>
        <w:t>ę</w:t>
      </w:r>
      <w:r w:rsidRPr="00E94C23">
        <w:rPr>
          <w:rFonts w:ascii="Tahoma" w:hAnsi="Tahoma" w:cs="Tahoma"/>
          <w:sz w:val="22"/>
          <w:szCs w:val="22"/>
        </w:rPr>
        <w:t xml:space="preserve"> </w:t>
      </w:r>
      <w:r w:rsidRPr="00E94C23">
        <w:rPr>
          <w:rFonts w:ascii="Tahoma" w:hAnsi="Tahoma" w:cs="Tahoma"/>
          <w:bCs/>
          <w:sz w:val="22"/>
          <w:szCs w:val="22"/>
        </w:rPr>
        <w:t xml:space="preserve">sygnalizatorów na wysięgniku należy zaprojektować </w:t>
      </w:r>
      <w:r w:rsidR="00E318F7" w:rsidRPr="00E94C23">
        <w:rPr>
          <w:rFonts w:ascii="Tahoma" w:hAnsi="Tahoma" w:cs="Tahoma"/>
          <w:bCs/>
          <w:sz w:val="22"/>
          <w:szCs w:val="22"/>
        </w:rPr>
        <w:t>w miejscu</w:t>
      </w:r>
      <w:r w:rsidRPr="00E94C23">
        <w:rPr>
          <w:rFonts w:ascii="Tahoma" w:hAnsi="Tahoma" w:cs="Tahoma"/>
          <w:bCs/>
          <w:sz w:val="22"/>
          <w:szCs w:val="22"/>
        </w:rPr>
        <w:t xml:space="preserve">, w którym ich odległość od linii warunkowego zatrzymania będzie </w:t>
      </w:r>
      <w:r w:rsidR="00EF765C" w:rsidRPr="00E94C23">
        <w:rPr>
          <w:rFonts w:ascii="Tahoma" w:hAnsi="Tahoma" w:cs="Tahoma"/>
          <w:bCs/>
          <w:sz w:val="22"/>
          <w:szCs w:val="22"/>
        </w:rPr>
        <w:t>zbliżona do zalecanej</w:t>
      </w:r>
      <w:r w:rsidRPr="00E94C23">
        <w:rPr>
          <w:rFonts w:ascii="Tahoma" w:hAnsi="Tahoma" w:cs="Tahoma"/>
          <w:bCs/>
          <w:sz w:val="22"/>
          <w:szCs w:val="22"/>
        </w:rPr>
        <w:t xml:space="preserve"> </w:t>
      </w:r>
      <w:r w:rsidR="00EF765C" w:rsidRPr="00E94C23">
        <w:rPr>
          <w:rFonts w:ascii="Tahoma" w:hAnsi="Tahoma" w:cs="Tahoma"/>
          <w:bCs/>
          <w:sz w:val="22"/>
          <w:szCs w:val="22"/>
        </w:rPr>
        <w:br/>
      </w:r>
      <w:r w:rsidRPr="00E94C23">
        <w:rPr>
          <w:rFonts w:ascii="Tahoma" w:hAnsi="Tahoma" w:cs="Tahoma"/>
          <w:bCs/>
          <w:sz w:val="22"/>
          <w:szCs w:val="22"/>
        </w:rPr>
        <w:t>w „</w:t>
      </w:r>
      <w:r w:rsidRPr="00E94C23">
        <w:rPr>
          <w:rFonts w:ascii="Tahoma" w:hAnsi="Tahoma" w:cs="Tahoma"/>
          <w:bCs/>
          <w:i/>
          <w:sz w:val="22"/>
          <w:szCs w:val="22"/>
        </w:rPr>
        <w:t>Szczegółowych warunkach technicznych dla znaków i sygnałów drogowych</w:t>
      </w:r>
      <w:r w:rsidRPr="00E94C23">
        <w:rPr>
          <w:rFonts w:ascii="Tahoma" w:hAnsi="Tahoma" w:cs="Tahoma"/>
          <w:i/>
          <w:sz w:val="22"/>
          <w:szCs w:val="22"/>
        </w:rPr>
        <w:t xml:space="preserve"> oraz urządzeń bezpieczeństwa ruchu drogowego i warunków ich umieszczania na drogach</w:t>
      </w:r>
      <w:r w:rsidRPr="00E94C23">
        <w:rPr>
          <w:rFonts w:ascii="Tahoma" w:hAnsi="Tahoma" w:cs="Tahoma"/>
          <w:bCs/>
          <w:sz w:val="22"/>
          <w:szCs w:val="22"/>
        </w:rPr>
        <w:t>”.</w:t>
      </w:r>
    </w:p>
    <w:p w14:paraId="5AD2974B" w14:textId="77777777" w:rsidR="00DD7126" w:rsidRPr="00E94C23" w:rsidRDefault="00011187" w:rsidP="00E94C23">
      <w:pPr>
        <w:pStyle w:val="Akapitzlist"/>
        <w:numPr>
          <w:ilvl w:val="0"/>
          <w:numId w:val="4"/>
        </w:numPr>
        <w:spacing w:after="0" w:line="276" w:lineRule="auto"/>
        <w:ind w:hanging="357"/>
        <w:jc w:val="both"/>
        <w:rPr>
          <w:rFonts w:ascii="Tahoma" w:eastAsia="Times New Roman" w:hAnsi="Tahoma" w:cs="Tahoma"/>
          <w:sz w:val="22"/>
          <w:szCs w:val="22"/>
          <w:lang w:eastAsia="pl-PL"/>
        </w:rPr>
      </w:pPr>
      <w:r w:rsidRPr="00E94C23">
        <w:rPr>
          <w:rFonts w:ascii="Tahoma" w:eastAsia="Times New Roman" w:hAnsi="Tahoma" w:cs="Tahoma"/>
          <w:sz w:val="22"/>
          <w:szCs w:val="22"/>
          <w:lang w:eastAsia="pl-PL"/>
        </w:rPr>
        <w:t>W uzasadnionych przypadkach dopuszcza się zastosowanie dwu</w:t>
      </w:r>
      <w:r w:rsidR="00E6587E" w:rsidRPr="00E94C23">
        <w:rPr>
          <w:rFonts w:ascii="Tahoma" w:eastAsia="Times New Roman" w:hAnsi="Tahoma" w:cs="Tahoma"/>
          <w:sz w:val="22"/>
          <w:szCs w:val="22"/>
          <w:lang w:eastAsia="pl-PL"/>
        </w:rPr>
        <w:t>dzielnych masztów i wysięgników.</w:t>
      </w:r>
    </w:p>
    <w:p w14:paraId="5C030005" w14:textId="77777777" w:rsidR="00DD7126" w:rsidRPr="00E94C23" w:rsidRDefault="00011187" w:rsidP="00E94C23">
      <w:pPr>
        <w:pStyle w:val="Akapitzlist"/>
        <w:numPr>
          <w:ilvl w:val="0"/>
          <w:numId w:val="4"/>
        </w:numPr>
        <w:spacing w:after="0" w:line="276" w:lineRule="auto"/>
        <w:ind w:hanging="357"/>
        <w:jc w:val="both"/>
        <w:rPr>
          <w:rFonts w:ascii="Tahoma" w:hAnsi="Tahoma" w:cs="Tahoma"/>
          <w:sz w:val="22"/>
          <w:szCs w:val="22"/>
        </w:rPr>
      </w:pPr>
      <w:r w:rsidRPr="00E94C23">
        <w:rPr>
          <w:rFonts w:ascii="Tahoma" w:hAnsi="Tahoma" w:cs="Tahoma"/>
          <w:sz w:val="22"/>
          <w:szCs w:val="22"/>
        </w:rPr>
        <w:t xml:space="preserve">Obowiązkiem jednostki wprowadzającej organizację ruchu jest zawiadomienie tut. Zarządu oraz Komendanta Policji w Gdyni o terminie jej wprowadzenia, </w:t>
      </w:r>
      <w:r w:rsidR="00EF765C" w:rsidRPr="00E94C23">
        <w:rPr>
          <w:rFonts w:ascii="Tahoma" w:hAnsi="Tahoma" w:cs="Tahoma"/>
          <w:sz w:val="22"/>
          <w:szCs w:val="22"/>
        </w:rPr>
        <w:br/>
      </w:r>
      <w:r w:rsidRPr="00E94C23">
        <w:rPr>
          <w:rFonts w:ascii="Tahoma" w:hAnsi="Tahoma" w:cs="Tahoma"/>
          <w:sz w:val="22"/>
          <w:szCs w:val="22"/>
        </w:rPr>
        <w:t>co najmniej 7 dni przed dniem wprowadzenia organizacji ruchu.</w:t>
      </w:r>
    </w:p>
    <w:p w14:paraId="7A24AF9B" w14:textId="77777777" w:rsidR="00E318F7" w:rsidRPr="00E94C23" w:rsidRDefault="00E318F7" w:rsidP="00E94C23">
      <w:pPr>
        <w:pStyle w:val="Akapitzlist"/>
        <w:numPr>
          <w:ilvl w:val="0"/>
          <w:numId w:val="4"/>
        </w:numPr>
        <w:spacing w:after="0" w:line="276" w:lineRule="auto"/>
        <w:ind w:hanging="357"/>
        <w:jc w:val="both"/>
        <w:rPr>
          <w:rFonts w:ascii="Tahoma" w:eastAsia="TimesNewRoman" w:hAnsi="Tahoma" w:cs="Tahoma"/>
          <w:bCs/>
          <w:sz w:val="22"/>
          <w:szCs w:val="22"/>
          <w:lang w:eastAsia="pl-PL"/>
        </w:rPr>
      </w:pPr>
      <w:r w:rsidRPr="00E94C23">
        <w:rPr>
          <w:rFonts w:ascii="Tahoma" w:eastAsia="TimesNewRoman" w:hAnsi="Tahoma" w:cs="Tahoma"/>
          <w:bCs/>
          <w:sz w:val="22"/>
          <w:szCs w:val="22"/>
          <w:lang w:eastAsia="pl-PL"/>
        </w:rPr>
        <w:t>W</w:t>
      </w:r>
      <w:r w:rsidR="00011187" w:rsidRPr="00E94C23">
        <w:rPr>
          <w:rFonts w:ascii="Tahoma" w:eastAsia="TimesNewRoman" w:hAnsi="Tahoma" w:cs="Tahoma"/>
          <w:bCs/>
          <w:sz w:val="22"/>
          <w:szCs w:val="22"/>
          <w:lang w:eastAsia="pl-PL"/>
        </w:rPr>
        <w:t>szystkie</w:t>
      </w:r>
      <w:r w:rsidRPr="00E94C23">
        <w:rPr>
          <w:rFonts w:ascii="Tahoma" w:eastAsia="TimesNewRoman" w:hAnsi="Tahoma" w:cs="Tahoma"/>
          <w:bCs/>
          <w:sz w:val="22"/>
          <w:szCs w:val="22"/>
          <w:lang w:eastAsia="pl-PL"/>
        </w:rPr>
        <w:t xml:space="preserve"> </w:t>
      </w:r>
      <w:r w:rsidR="00EF765C" w:rsidRPr="00E94C23">
        <w:rPr>
          <w:rFonts w:ascii="Tahoma" w:eastAsia="TimesNewRoman" w:hAnsi="Tahoma" w:cs="Tahoma"/>
          <w:bCs/>
          <w:sz w:val="22"/>
          <w:szCs w:val="22"/>
          <w:lang w:eastAsia="pl-PL"/>
        </w:rPr>
        <w:t xml:space="preserve">projektowane </w:t>
      </w:r>
      <w:r w:rsidR="00011187" w:rsidRPr="00E94C23">
        <w:rPr>
          <w:rFonts w:ascii="Tahoma" w:eastAsia="TimesNewRoman" w:hAnsi="Tahoma" w:cs="Tahoma"/>
          <w:bCs/>
          <w:sz w:val="22"/>
          <w:szCs w:val="22"/>
          <w:lang w:eastAsia="pl-PL"/>
        </w:rPr>
        <w:t>urządzenia</w:t>
      </w:r>
      <w:r w:rsidR="00EF765C" w:rsidRPr="00E94C23">
        <w:rPr>
          <w:rFonts w:ascii="Tahoma" w:eastAsia="TimesNewRoman" w:hAnsi="Tahoma" w:cs="Tahoma"/>
          <w:bCs/>
          <w:sz w:val="22"/>
          <w:szCs w:val="22"/>
          <w:lang w:eastAsia="pl-PL"/>
        </w:rPr>
        <w:t xml:space="preserve"> </w:t>
      </w:r>
      <w:r w:rsidR="00011187" w:rsidRPr="00E94C23">
        <w:rPr>
          <w:rFonts w:ascii="Tahoma" w:eastAsia="TimesNewRoman" w:hAnsi="Tahoma" w:cs="Tahoma"/>
          <w:bCs/>
          <w:sz w:val="22"/>
          <w:szCs w:val="22"/>
          <w:lang w:eastAsia="pl-PL"/>
        </w:rPr>
        <w:t>sygnalizacji świetlnej</w:t>
      </w:r>
      <w:r w:rsidR="00EF765C" w:rsidRPr="00E94C23">
        <w:rPr>
          <w:rFonts w:ascii="Tahoma" w:eastAsia="TimesNewRoman" w:hAnsi="Tahoma" w:cs="Tahoma"/>
          <w:bCs/>
          <w:sz w:val="22"/>
          <w:szCs w:val="22"/>
          <w:lang w:eastAsia="pl-PL"/>
        </w:rPr>
        <w:t xml:space="preserve"> (nowe oraz przenoszone istniejące)</w:t>
      </w:r>
      <w:r w:rsidR="00011187" w:rsidRPr="00E94C23">
        <w:rPr>
          <w:rFonts w:ascii="Tahoma" w:eastAsia="TimesNewRoman" w:hAnsi="Tahoma" w:cs="Tahoma"/>
          <w:bCs/>
          <w:sz w:val="22"/>
          <w:szCs w:val="22"/>
          <w:lang w:eastAsia="pl-PL"/>
        </w:rPr>
        <w:t xml:space="preserve"> </w:t>
      </w:r>
      <w:r w:rsidR="00EF765C" w:rsidRPr="00E94C23">
        <w:rPr>
          <w:rFonts w:ascii="Tahoma" w:eastAsia="TimesNewRoman" w:hAnsi="Tahoma" w:cs="Tahoma"/>
          <w:bCs/>
          <w:sz w:val="22"/>
          <w:szCs w:val="22"/>
          <w:lang w:eastAsia="pl-PL"/>
        </w:rPr>
        <w:t xml:space="preserve">dodatkowo </w:t>
      </w:r>
      <w:r w:rsidR="00011187" w:rsidRPr="00E94C23">
        <w:rPr>
          <w:rFonts w:ascii="Tahoma" w:eastAsia="TimesNewRoman" w:hAnsi="Tahoma" w:cs="Tahoma"/>
          <w:bCs/>
          <w:sz w:val="22"/>
          <w:szCs w:val="22"/>
          <w:lang w:eastAsia="pl-PL"/>
        </w:rPr>
        <w:t>muszą spełniać wszystkie</w:t>
      </w:r>
      <w:r w:rsidR="00EF765C" w:rsidRPr="00E94C23">
        <w:rPr>
          <w:rFonts w:ascii="Tahoma" w:eastAsia="TimesNewRoman" w:hAnsi="Tahoma" w:cs="Tahoma"/>
          <w:bCs/>
          <w:sz w:val="22"/>
          <w:szCs w:val="22"/>
          <w:lang w:eastAsia="pl-PL"/>
        </w:rPr>
        <w:t xml:space="preserve"> obowiązujące</w:t>
      </w:r>
      <w:r w:rsidR="00011187" w:rsidRPr="00E94C23">
        <w:rPr>
          <w:rFonts w:ascii="Tahoma" w:eastAsia="TimesNewRoman" w:hAnsi="Tahoma" w:cs="Tahoma"/>
          <w:bCs/>
          <w:sz w:val="22"/>
          <w:szCs w:val="22"/>
          <w:lang w:eastAsia="pl-PL"/>
        </w:rPr>
        <w:t xml:space="preserve"> </w:t>
      </w:r>
      <w:r w:rsidR="00EF765C" w:rsidRPr="00E94C23">
        <w:rPr>
          <w:rFonts w:ascii="Tahoma" w:eastAsia="TimesNewRoman" w:hAnsi="Tahoma" w:cs="Tahoma"/>
          <w:bCs/>
          <w:sz w:val="22"/>
          <w:szCs w:val="22"/>
          <w:lang w:eastAsia="pl-PL"/>
        </w:rPr>
        <w:t xml:space="preserve">właściwe </w:t>
      </w:r>
      <w:r w:rsidR="00011187" w:rsidRPr="00E94C23">
        <w:rPr>
          <w:rFonts w:ascii="Tahoma" w:eastAsia="TimesNewRoman" w:hAnsi="Tahoma" w:cs="Tahoma"/>
          <w:bCs/>
          <w:sz w:val="22"/>
          <w:szCs w:val="22"/>
          <w:lang w:eastAsia="pl-PL"/>
        </w:rPr>
        <w:t xml:space="preserve">normy </w:t>
      </w:r>
      <w:r w:rsidR="00EF765C" w:rsidRPr="00E94C23">
        <w:rPr>
          <w:rFonts w:ascii="Tahoma" w:eastAsia="TimesNewRoman" w:hAnsi="Tahoma" w:cs="Tahoma"/>
          <w:bCs/>
          <w:sz w:val="22"/>
          <w:szCs w:val="22"/>
          <w:lang w:eastAsia="pl-PL"/>
        </w:rPr>
        <w:br/>
      </w:r>
      <w:r w:rsidR="00011187" w:rsidRPr="00E94C23">
        <w:rPr>
          <w:rFonts w:ascii="Tahoma" w:eastAsia="TimesNewRoman" w:hAnsi="Tahoma" w:cs="Tahoma"/>
          <w:bCs/>
          <w:sz w:val="22"/>
          <w:szCs w:val="22"/>
          <w:lang w:eastAsia="pl-PL"/>
        </w:rPr>
        <w:t xml:space="preserve">i wymagania wskazane w stosownych przepisach, niezależnie od tego czy zostały </w:t>
      </w:r>
      <w:r w:rsidR="00EF765C" w:rsidRPr="00E94C23">
        <w:rPr>
          <w:rFonts w:ascii="Tahoma" w:eastAsia="TimesNewRoman" w:hAnsi="Tahoma" w:cs="Tahoma"/>
          <w:bCs/>
          <w:sz w:val="22"/>
          <w:szCs w:val="22"/>
          <w:lang w:eastAsia="pl-PL"/>
        </w:rPr>
        <w:t xml:space="preserve">one </w:t>
      </w:r>
      <w:r w:rsidR="00011187" w:rsidRPr="00E94C23">
        <w:rPr>
          <w:rFonts w:ascii="Tahoma" w:eastAsia="TimesNewRoman" w:hAnsi="Tahoma" w:cs="Tahoma"/>
          <w:bCs/>
          <w:sz w:val="22"/>
          <w:szCs w:val="22"/>
          <w:lang w:eastAsia="pl-PL"/>
        </w:rPr>
        <w:t xml:space="preserve">wymienione w </w:t>
      </w:r>
      <w:r w:rsidR="00EF765C" w:rsidRPr="00E94C23">
        <w:rPr>
          <w:rFonts w:ascii="Tahoma" w:eastAsia="TimesNewRoman" w:hAnsi="Tahoma" w:cs="Tahoma"/>
          <w:bCs/>
          <w:sz w:val="22"/>
          <w:szCs w:val="22"/>
          <w:lang w:eastAsia="pl-PL"/>
        </w:rPr>
        <w:t>niniejszych warunkach technicznych.</w:t>
      </w:r>
    </w:p>
    <w:p w14:paraId="6C71CDCF" w14:textId="77777777" w:rsidR="00E318F7" w:rsidRPr="00E94C23" w:rsidRDefault="00E318F7" w:rsidP="00E94C23">
      <w:pPr>
        <w:spacing w:line="276" w:lineRule="auto"/>
        <w:jc w:val="both"/>
        <w:rPr>
          <w:rFonts w:ascii="Tahoma" w:hAnsi="Tahoma" w:cs="Tahoma"/>
          <w:sz w:val="22"/>
          <w:szCs w:val="22"/>
        </w:rPr>
      </w:pPr>
    </w:p>
    <w:p w14:paraId="64F16BD1" w14:textId="77777777" w:rsidR="00DD7126" w:rsidRPr="00E94C23" w:rsidRDefault="00011187" w:rsidP="00E94C23">
      <w:pPr>
        <w:spacing w:line="276" w:lineRule="auto"/>
        <w:jc w:val="both"/>
        <w:rPr>
          <w:rFonts w:ascii="Tahoma" w:eastAsia="TimesNewRoman" w:hAnsi="Tahoma" w:cs="Tahoma"/>
          <w:bCs/>
          <w:sz w:val="22"/>
          <w:szCs w:val="22"/>
          <w:lang w:eastAsia="pl-PL"/>
        </w:rPr>
      </w:pPr>
      <w:r w:rsidRPr="00E94C23">
        <w:rPr>
          <w:rFonts w:ascii="Tahoma" w:hAnsi="Tahoma" w:cs="Tahoma"/>
          <w:sz w:val="22"/>
          <w:szCs w:val="22"/>
        </w:rPr>
        <w:br w:type="page"/>
      </w:r>
    </w:p>
    <w:p w14:paraId="1CC2273D" w14:textId="77777777" w:rsidR="00DD7126" w:rsidRPr="00E94C23" w:rsidRDefault="00EF765C" w:rsidP="00E94C23">
      <w:pPr>
        <w:pStyle w:val="Nagwek21"/>
        <w:numPr>
          <w:ilvl w:val="0"/>
          <w:numId w:val="0"/>
        </w:numPr>
        <w:spacing w:before="0" w:after="0" w:line="276" w:lineRule="auto"/>
        <w:jc w:val="center"/>
        <w:rPr>
          <w:rFonts w:ascii="Tahoma" w:hAnsi="Tahoma" w:cs="Tahoma"/>
          <w:i/>
          <w:sz w:val="22"/>
          <w:szCs w:val="22"/>
        </w:rPr>
      </w:pPr>
      <w:r w:rsidRPr="00E94C23">
        <w:rPr>
          <w:rFonts w:ascii="Tahoma" w:hAnsi="Tahoma" w:cs="Tahoma"/>
          <w:i/>
          <w:sz w:val="22"/>
          <w:szCs w:val="22"/>
        </w:rPr>
        <w:lastRenderedPageBreak/>
        <w:t xml:space="preserve">SZEGÓŁOWE ROZWIĄZANIA TECHNICZNE DLA PROJEKTOWANYCH </w:t>
      </w:r>
      <w:r w:rsidR="0012739D" w:rsidRPr="00E94C23">
        <w:rPr>
          <w:rFonts w:ascii="Tahoma" w:hAnsi="Tahoma" w:cs="Tahoma"/>
          <w:i/>
          <w:sz w:val="22"/>
          <w:szCs w:val="22"/>
        </w:rPr>
        <w:t>ELEMENTÓW</w:t>
      </w:r>
    </w:p>
    <w:p w14:paraId="5F6821BB" w14:textId="77777777" w:rsidR="00DD7126" w:rsidRPr="00E94C23" w:rsidRDefault="00011187" w:rsidP="00E94C23">
      <w:pPr>
        <w:pStyle w:val="Nagwek31"/>
        <w:numPr>
          <w:ilvl w:val="0"/>
          <w:numId w:val="2"/>
        </w:numPr>
        <w:spacing w:before="0" w:after="0" w:line="276" w:lineRule="auto"/>
        <w:rPr>
          <w:rFonts w:ascii="Tahoma" w:hAnsi="Tahoma"/>
          <w:sz w:val="22"/>
        </w:rPr>
      </w:pPr>
      <w:bookmarkStart w:id="1" w:name="Bookmark1"/>
      <w:r w:rsidRPr="00E94C23">
        <w:rPr>
          <w:rFonts w:ascii="Tahoma" w:hAnsi="Tahoma"/>
          <w:sz w:val="22"/>
        </w:rPr>
        <w:t>Szafa TRISTAR</w:t>
      </w:r>
      <w:bookmarkEnd w:id="1"/>
    </w:p>
    <w:p w14:paraId="38E2E338" w14:textId="77777777" w:rsidR="00DD7126" w:rsidRPr="00E94C23" w:rsidRDefault="0012739D" w:rsidP="00E94C23">
      <w:pPr>
        <w:pStyle w:val="Akapitzlist"/>
        <w:numPr>
          <w:ilvl w:val="1"/>
          <w:numId w:val="20"/>
        </w:numPr>
        <w:spacing w:after="0" w:line="276" w:lineRule="auto"/>
        <w:jc w:val="both"/>
        <w:rPr>
          <w:rFonts w:ascii="Tahoma" w:hAnsi="Tahoma" w:cs="Tahoma"/>
          <w:sz w:val="22"/>
          <w:szCs w:val="22"/>
        </w:rPr>
      </w:pPr>
      <w:r w:rsidRPr="00E94C23">
        <w:rPr>
          <w:rFonts w:ascii="Tahoma" w:hAnsi="Tahoma" w:cs="Tahoma"/>
          <w:sz w:val="22"/>
          <w:szCs w:val="22"/>
        </w:rPr>
        <w:t>W przypadku wystąpienia konieczności wprowadzenia ewentualnych zmian, należy je uzgodnić z Referatem Sygnalizacji Świetlnej i Planowania Transportu w Zarządzie Dróg i Zieleni w Gdyni.</w:t>
      </w:r>
    </w:p>
    <w:p w14:paraId="73339E7A" w14:textId="77777777" w:rsidR="00DD7126" w:rsidRPr="00E94C23" w:rsidRDefault="00011187" w:rsidP="00E94C23">
      <w:pPr>
        <w:pStyle w:val="Nagwek31"/>
        <w:numPr>
          <w:ilvl w:val="0"/>
          <w:numId w:val="2"/>
        </w:numPr>
        <w:spacing w:before="0" w:after="0" w:line="276" w:lineRule="auto"/>
        <w:rPr>
          <w:rFonts w:ascii="Tahoma" w:hAnsi="Tahoma"/>
          <w:sz w:val="22"/>
        </w:rPr>
      </w:pPr>
      <w:bookmarkStart w:id="2" w:name="Bookmark2"/>
      <w:r w:rsidRPr="00E94C23">
        <w:rPr>
          <w:rFonts w:ascii="Tahoma" w:hAnsi="Tahoma"/>
          <w:sz w:val="22"/>
        </w:rPr>
        <w:t>Kanalizacja kablowa</w:t>
      </w:r>
      <w:bookmarkEnd w:id="2"/>
    </w:p>
    <w:p w14:paraId="1E53A4EF" w14:textId="77777777" w:rsidR="00DD7126" w:rsidRPr="00E94C23" w:rsidRDefault="00011187" w:rsidP="00E94C23">
      <w:pPr>
        <w:pStyle w:val="Akapitzlist"/>
        <w:numPr>
          <w:ilvl w:val="1"/>
          <w:numId w:val="6"/>
        </w:numPr>
        <w:spacing w:after="0" w:line="276" w:lineRule="auto"/>
        <w:jc w:val="both"/>
        <w:rPr>
          <w:rFonts w:ascii="Tahoma" w:eastAsia="Times New Roman" w:hAnsi="Tahoma" w:cs="Tahoma"/>
          <w:sz w:val="22"/>
          <w:szCs w:val="22"/>
          <w:lang w:eastAsia="pl-PL"/>
        </w:rPr>
      </w:pPr>
      <w:r w:rsidRPr="00E94C23">
        <w:rPr>
          <w:rFonts w:ascii="Tahoma" w:eastAsia="Times New Roman" w:hAnsi="Tahoma" w:cs="Tahoma"/>
          <w:sz w:val="22"/>
          <w:szCs w:val="22"/>
          <w:lang w:eastAsia="pl-PL"/>
        </w:rPr>
        <w:t>Należy przewidzieć kanalizację lokalną w celu połączenia</w:t>
      </w:r>
      <w:r w:rsidR="0012739D" w:rsidRPr="00E94C23">
        <w:rPr>
          <w:rFonts w:ascii="Tahoma" w:eastAsia="Times New Roman" w:hAnsi="Tahoma" w:cs="Tahoma"/>
          <w:sz w:val="22"/>
          <w:szCs w:val="22"/>
          <w:lang w:eastAsia="pl-PL"/>
        </w:rPr>
        <w:t xml:space="preserve"> ze sterownikiem nowoprojektowanych oraz przenoszonych sygnalizatorów, a także urządzeń detekcji.</w:t>
      </w:r>
    </w:p>
    <w:p w14:paraId="09EB2CFC" w14:textId="77777777" w:rsidR="00DD7126" w:rsidRPr="00E94C23" w:rsidRDefault="00011187" w:rsidP="00E94C23">
      <w:pPr>
        <w:numPr>
          <w:ilvl w:val="1"/>
          <w:numId w:val="6"/>
        </w:numPr>
        <w:spacing w:line="276" w:lineRule="auto"/>
        <w:jc w:val="both"/>
        <w:rPr>
          <w:rFonts w:ascii="Tahoma" w:eastAsia="Times New Roman" w:hAnsi="Tahoma" w:cs="Tahoma"/>
          <w:sz w:val="22"/>
          <w:szCs w:val="22"/>
          <w:lang w:eastAsia="pl-PL"/>
        </w:rPr>
      </w:pPr>
      <w:r w:rsidRPr="00E94C23">
        <w:rPr>
          <w:rFonts w:ascii="Tahoma" w:eastAsia="Times New Roman" w:hAnsi="Tahoma" w:cs="Tahoma"/>
          <w:sz w:val="22"/>
          <w:szCs w:val="22"/>
          <w:lang w:eastAsia="pl-PL"/>
        </w:rPr>
        <w:t>Kanalizacja kablowa lokalna wykorzystana zostanie w celu połączenia sygnalizatorów, urządzeń detekcji do sterownika lokalnego SL oraz innych urządzeń TRISTAR do szafy trójkomorowej. W tym celu należy wybudować kanalizację kablową z rur polietylenowych 2 x ф110 + 1 x ф40 typu HDPE lub DVR + 1 x ф40 HDPE (mikrokanalizacja 7x10).</w:t>
      </w:r>
    </w:p>
    <w:p w14:paraId="1E296FF4" w14:textId="77777777" w:rsidR="00DD7126" w:rsidRPr="00E94C23" w:rsidRDefault="00011187" w:rsidP="00E94C23">
      <w:pPr>
        <w:numPr>
          <w:ilvl w:val="1"/>
          <w:numId w:val="6"/>
        </w:numPr>
        <w:spacing w:line="276" w:lineRule="auto"/>
        <w:jc w:val="both"/>
        <w:rPr>
          <w:rFonts w:ascii="Tahoma" w:eastAsia="Times New Roman" w:hAnsi="Tahoma" w:cs="Tahoma"/>
          <w:sz w:val="22"/>
          <w:szCs w:val="22"/>
          <w:lang w:eastAsia="pl-PL"/>
        </w:rPr>
      </w:pPr>
      <w:r w:rsidRPr="00E94C23">
        <w:rPr>
          <w:rFonts w:ascii="Tahoma" w:eastAsia="Times New Roman" w:hAnsi="Tahoma" w:cs="Tahoma"/>
          <w:sz w:val="22"/>
          <w:szCs w:val="22"/>
          <w:lang w:eastAsia="pl-PL"/>
        </w:rPr>
        <w:t xml:space="preserve">Podejścia do </w:t>
      </w:r>
      <w:r w:rsidR="00E318F7" w:rsidRPr="00E94C23">
        <w:rPr>
          <w:rFonts w:ascii="Tahoma" w:eastAsia="Times New Roman" w:hAnsi="Tahoma" w:cs="Tahoma"/>
          <w:sz w:val="22"/>
          <w:szCs w:val="22"/>
          <w:lang w:eastAsia="pl-PL"/>
        </w:rPr>
        <w:t>masztów sygnalizatorów</w:t>
      </w:r>
      <w:r w:rsidRPr="00E94C23">
        <w:rPr>
          <w:rFonts w:ascii="Tahoma" w:eastAsia="Times New Roman" w:hAnsi="Tahoma" w:cs="Tahoma"/>
          <w:sz w:val="22"/>
          <w:szCs w:val="22"/>
          <w:lang w:eastAsia="pl-PL"/>
        </w:rPr>
        <w:t xml:space="preserve"> oraz innych urządzeń TRISTAR należy wykonać rurą DVR ф75, do pętli </w:t>
      </w:r>
      <w:r w:rsidR="00E318F7" w:rsidRPr="00E94C23">
        <w:rPr>
          <w:rFonts w:ascii="Tahoma" w:eastAsia="Times New Roman" w:hAnsi="Tahoma" w:cs="Tahoma"/>
          <w:sz w:val="22"/>
          <w:szCs w:val="22"/>
          <w:lang w:eastAsia="pl-PL"/>
        </w:rPr>
        <w:t>indukcyjnych HDPE</w:t>
      </w:r>
      <w:r w:rsidRPr="00E94C23">
        <w:rPr>
          <w:rFonts w:ascii="Tahoma" w:eastAsia="Times New Roman" w:hAnsi="Tahoma" w:cs="Tahoma"/>
          <w:sz w:val="22"/>
          <w:szCs w:val="22"/>
          <w:lang w:eastAsia="pl-PL"/>
        </w:rPr>
        <w:t xml:space="preserve"> ф40. Na ciągach kanalizacji stanowiących pętlę skrzyżowania należy zastosować studnie kablowe o gabarytach SKR-1. W przypadku podejść kanalizacji do pętli i urządzeń poza pętlę skrzyżowania przewidziano studnie typu SK-1. Jako studnię podszafkową do połączenia szafy SL i P projektuje się wykorzystanie studni typu SKR-2. Połączenia szaf do studni wykonać </w:t>
      </w:r>
      <w:r w:rsidR="00E318F7" w:rsidRPr="00E94C23">
        <w:rPr>
          <w:rFonts w:ascii="Tahoma" w:eastAsia="Times New Roman" w:hAnsi="Tahoma" w:cs="Tahoma"/>
          <w:sz w:val="22"/>
          <w:szCs w:val="22"/>
          <w:lang w:eastAsia="pl-PL"/>
        </w:rPr>
        <w:t>rurą 2</w:t>
      </w:r>
      <w:r w:rsidRPr="00E94C23">
        <w:rPr>
          <w:rFonts w:ascii="Tahoma" w:eastAsia="Times New Roman" w:hAnsi="Tahoma" w:cs="Tahoma"/>
          <w:sz w:val="22"/>
          <w:szCs w:val="22"/>
          <w:lang w:eastAsia="pl-PL"/>
        </w:rPr>
        <w:t xml:space="preserve"> x DVR ф 110, między szafami 1 x DVR ф 110.</w:t>
      </w:r>
    </w:p>
    <w:p w14:paraId="36B8A428" w14:textId="77777777" w:rsidR="00DD7126" w:rsidRPr="00E94C23" w:rsidRDefault="00011187" w:rsidP="00E94C23">
      <w:pPr>
        <w:pStyle w:val="Tekstpodstawowy"/>
        <w:numPr>
          <w:ilvl w:val="1"/>
          <w:numId w:val="6"/>
        </w:numPr>
        <w:spacing w:after="0"/>
        <w:jc w:val="both"/>
        <w:rPr>
          <w:rFonts w:ascii="Tahoma" w:eastAsia="Times New Roman" w:hAnsi="Tahoma" w:cs="Tahoma"/>
          <w:sz w:val="22"/>
          <w:szCs w:val="22"/>
          <w:lang w:eastAsia="pl-PL"/>
        </w:rPr>
      </w:pPr>
      <w:r w:rsidRPr="00E94C23">
        <w:rPr>
          <w:rFonts w:ascii="Tahoma" w:eastAsia="Times New Roman" w:hAnsi="Tahoma" w:cs="Tahoma"/>
          <w:sz w:val="22"/>
          <w:szCs w:val="22"/>
          <w:lang w:eastAsia="pl-PL"/>
        </w:rPr>
        <w:t>Kanalizacja kablowa systemowa wykorzystana zostanie w celu budowy systemów transmisji danych pomiędzy sterownikami lokalnymi bądź urządzeniami oraz Centrum. Ciągi kanalizacji systemowej należy wybudować z rur polietylenowych 2 x Ø 110 typu HDPE lub DVR + 2 x ф 40 HDPE (mikrokanalizacja 7x10). Zastosować studnie kablowe o gabarycie SKR-1. W miejscu gdzie przebieg kanalizacji kablowej systemowej pokrywa się z kanalizacją lokalną wybudować ilość rur równą sumie obu kanalizacji tzn. 4 x ф 110 + 3 x ф 40 (mikrokanalizacja 7x10).</w:t>
      </w:r>
    </w:p>
    <w:p w14:paraId="647E5511" w14:textId="77777777" w:rsidR="00DD7126" w:rsidRPr="00E94C23" w:rsidRDefault="00011187" w:rsidP="00E94C23">
      <w:pPr>
        <w:pStyle w:val="Tekstpodstawowy"/>
        <w:numPr>
          <w:ilvl w:val="1"/>
          <w:numId w:val="6"/>
        </w:numPr>
        <w:spacing w:after="0"/>
        <w:jc w:val="both"/>
        <w:rPr>
          <w:rFonts w:ascii="Tahoma" w:eastAsia="Times New Roman" w:hAnsi="Tahoma" w:cs="Tahoma"/>
          <w:sz w:val="22"/>
          <w:szCs w:val="22"/>
          <w:lang w:eastAsia="pl-PL"/>
        </w:rPr>
      </w:pPr>
      <w:r w:rsidRPr="00E94C23">
        <w:rPr>
          <w:rFonts w:ascii="Tahoma" w:eastAsia="Times New Roman" w:hAnsi="Tahoma" w:cs="Tahoma"/>
          <w:sz w:val="22"/>
          <w:szCs w:val="22"/>
          <w:lang w:eastAsia="pl-PL"/>
        </w:rPr>
        <w:t>Skrzyżowania z uzbrojeniem podziemnym zabezpieczyć poprzez nałożenie na rurociągi kablowe rury osłonowej. W przypadku skrzyżowania projektowanej kanalizacji z kablami energetycznymi należy nałożyć rurę dwudzielną Ø 110 na kable eNN oraz Ø 160 na kable eSN i eWN. Ponadto na skrzyżowaniach z infrastrukturą TP S.A. należy na nią założyć rury osłonowe dwudzielne. Stosowane studnie typu SKR-2, SKR-1, SK-1 w celu hermetyzacji budowanej kanalizacji wyposażyć w mechaniczne pokrywy wyposażone w zamki.</w:t>
      </w:r>
    </w:p>
    <w:p w14:paraId="5D925267" w14:textId="77777777" w:rsidR="00DD7126" w:rsidRPr="00E94C23" w:rsidRDefault="00011187" w:rsidP="00E94C23">
      <w:pPr>
        <w:pStyle w:val="Nagwek31"/>
        <w:numPr>
          <w:ilvl w:val="0"/>
          <w:numId w:val="2"/>
        </w:numPr>
        <w:spacing w:before="0" w:after="0" w:line="276" w:lineRule="auto"/>
        <w:rPr>
          <w:rFonts w:ascii="Tahoma" w:hAnsi="Tahoma"/>
          <w:sz w:val="22"/>
        </w:rPr>
      </w:pPr>
      <w:bookmarkStart w:id="3" w:name="Bookmark3"/>
      <w:r w:rsidRPr="00E94C23">
        <w:rPr>
          <w:rFonts w:ascii="Tahoma" w:hAnsi="Tahoma"/>
          <w:sz w:val="22"/>
        </w:rPr>
        <w:t>Sterownik sygnalizacji</w:t>
      </w:r>
      <w:bookmarkEnd w:id="3"/>
    </w:p>
    <w:p w14:paraId="51702277" w14:textId="77777777" w:rsidR="00DD7126" w:rsidRPr="00E94C23" w:rsidRDefault="000B48DE" w:rsidP="00E94C23">
      <w:pPr>
        <w:pStyle w:val="Akapitzlist"/>
        <w:numPr>
          <w:ilvl w:val="0"/>
          <w:numId w:val="21"/>
        </w:numPr>
        <w:spacing w:after="0" w:line="276" w:lineRule="auto"/>
        <w:jc w:val="both"/>
        <w:rPr>
          <w:rFonts w:ascii="Tahoma" w:hAnsi="Tahoma" w:cs="Tahoma"/>
          <w:sz w:val="22"/>
          <w:szCs w:val="22"/>
        </w:rPr>
      </w:pPr>
      <w:r w:rsidRPr="00E94C23">
        <w:rPr>
          <w:rFonts w:ascii="Tahoma" w:hAnsi="Tahoma" w:cs="Tahoma"/>
          <w:sz w:val="22"/>
          <w:szCs w:val="22"/>
        </w:rPr>
        <w:t>Należy wykorzystać istniejące sterowniki sygnalizacji świetlnej, które należy rozbudować o taką liczbę niezbędnych modułów, aby możliwa była obsługa wszystkich grup sygnalizacyjnych oraz urządzeń detekcji (</w:t>
      </w:r>
      <w:r w:rsidR="00A255B4" w:rsidRPr="00E94C23">
        <w:rPr>
          <w:rFonts w:ascii="Tahoma" w:hAnsi="Tahoma" w:cs="Tahoma"/>
          <w:sz w:val="22"/>
          <w:szCs w:val="22"/>
        </w:rPr>
        <w:t xml:space="preserve">pętli indukcyjnych i przycisków dla pieszych). </w:t>
      </w:r>
      <w:r w:rsidRPr="00E94C23">
        <w:rPr>
          <w:rFonts w:ascii="Tahoma" w:hAnsi="Tahoma" w:cs="Tahoma"/>
          <w:sz w:val="22"/>
          <w:szCs w:val="22"/>
        </w:rPr>
        <w:t xml:space="preserve">W obu sterownikach zaimplementowany jest obecnie rdzeń TRENDS Kernel 5.1. Projekt powinien zakładać utrzymanie aktualnego, funkcjonującego na sterowniku rdzenia. Konieczne będzie jednak zaktualizowanie konfiguracji sterownika w zakresie podstawowych parametrów </w:t>
      </w:r>
      <w:r w:rsidRPr="00E94C23">
        <w:rPr>
          <w:rFonts w:ascii="Tahoma" w:hAnsi="Tahoma" w:cs="Tahoma"/>
          <w:sz w:val="22"/>
          <w:szCs w:val="22"/>
        </w:rPr>
        <w:lastRenderedPageBreak/>
        <w:t>bezpieczeństwa sygnalizacji świetlnej zgodnie z projektem sygnalizacji świetlnej w branży inżynierii ruchu. Ponadto należy zachować wszystkie funkcjonalności sterownika wynikające m.in. z „</w:t>
      </w:r>
      <w:r w:rsidRPr="00E94C23">
        <w:rPr>
          <w:rFonts w:ascii="Tahoma" w:hAnsi="Tahoma" w:cs="Tahoma"/>
          <w:i/>
          <w:sz w:val="22"/>
          <w:szCs w:val="22"/>
        </w:rPr>
        <w:t>R</w:t>
      </w:r>
      <w:r w:rsidR="00011187" w:rsidRPr="00E94C23">
        <w:rPr>
          <w:rFonts w:ascii="Tahoma" w:hAnsi="Tahoma" w:cs="Tahoma"/>
          <w:i/>
          <w:sz w:val="22"/>
          <w:szCs w:val="22"/>
        </w:rPr>
        <w:t xml:space="preserve">ozporządzenia Ministra Infrastruktury z dnia 3 lipca 2003 r. w sprawie szczegółowych warunków technicznych dla znaków i sygnałów drogowych oraz urządzeń bezpieczeństwa ruchu </w:t>
      </w:r>
      <w:r w:rsidR="00011187" w:rsidRPr="00E94C23">
        <w:rPr>
          <w:rFonts w:ascii="Tahoma" w:eastAsia="TimesNewRoman" w:hAnsi="Tahoma" w:cs="Tahoma"/>
          <w:bCs/>
          <w:i/>
          <w:sz w:val="22"/>
          <w:szCs w:val="22"/>
        </w:rPr>
        <w:t>drogowego i warunków ich umieszczania na drogach</w:t>
      </w:r>
      <w:r w:rsidR="00011187" w:rsidRPr="00E94C23">
        <w:rPr>
          <w:rFonts w:ascii="Tahoma" w:eastAsia="TimesNewRoman" w:hAnsi="Tahoma" w:cs="Tahoma"/>
          <w:bCs/>
          <w:sz w:val="22"/>
          <w:szCs w:val="22"/>
        </w:rPr>
        <w:t>” wraz z Załącznikami,</w:t>
      </w:r>
    </w:p>
    <w:p w14:paraId="55E72265" w14:textId="77777777" w:rsidR="00DD7126" w:rsidRPr="00E94C23" w:rsidRDefault="00011187" w:rsidP="00E94C23">
      <w:pPr>
        <w:pStyle w:val="Nagwek31"/>
        <w:numPr>
          <w:ilvl w:val="0"/>
          <w:numId w:val="2"/>
        </w:numPr>
        <w:spacing w:before="0" w:after="0" w:line="276" w:lineRule="auto"/>
        <w:rPr>
          <w:rFonts w:ascii="Tahoma" w:hAnsi="Tahoma"/>
          <w:sz w:val="22"/>
        </w:rPr>
      </w:pPr>
      <w:bookmarkStart w:id="4" w:name="Bookmark4"/>
      <w:r w:rsidRPr="00E94C23">
        <w:rPr>
          <w:rFonts w:ascii="Tahoma" w:hAnsi="Tahoma"/>
          <w:sz w:val="22"/>
        </w:rPr>
        <w:t>Sygnalizatory</w:t>
      </w:r>
      <w:bookmarkEnd w:id="4"/>
    </w:p>
    <w:p w14:paraId="1F1F5D80" w14:textId="77777777" w:rsidR="00824BB0" w:rsidRPr="00E94C23" w:rsidRDefault="00011187" w:rsidP="00E94C23">
      <w:pPr>
        <w:pStyle w:val="Akapitzlist"/>
        <w:numPr>
          <w:ilvl w:val="0"/>
          <w:numId w:val="22"/>
        </w:numPr>
        <w:spacing w:after="0" w:line="276" w:lineRule="auto"/>
        <w:jc w:val="both"/>
        <w:rPr>
          <w:rFonts w:ascii="Tahoma" w:hAnsi="Tahoma" w:cs="Tahoma"/>
          <w:sz w:val="22"/>
          <w:szCs w:val="22"/>
        </w:rPr>
      </w:pPr>
      <w:r w:rsidRPr="00E94C23">
        <w:rPr>
          <w:rFonts w:ascii="Tahoma" w:eastAsia="TimesNewRoman" w:hAnsi="Tahoma" w:cs="Tahoma"/>
          <w:sz w:val="22"/>
          <w:szCs w:val="22"/>
        </w:rPr>
        <w:t xml:space="preserve">Sygnalizatory muszą posiadać możliwość mocowania jednopunktowego </w:t>
      </w:r>
      <w:r w:rsidR="00824BB0" w:rsidRPr="00E94C23">
        <w:rPr>
          <w:rFonts w:ascii="Tahoma" w:eastAsia="TimesNewRoman" w:hAnsi="Tahoma" w:cs="Tahoma"/>
          <w:sz w:val="22"/>
          <w:szCs w:val="22"/>
        </w:rPr>
        <w:br/>
      </w:r>
      <w:r w:rsidRPr="00E94C23">
        <w:rPr>
          <w:rFonts w:ascii="Tahoma" w:eastAsia="TimesNewRoman" w:hAnsi="Tahoma" w:cs="Tahoma"/>
          <w:sz w:val="22"/>
          <w:szCs w:val="22"/>
        </w:rPr>
        <w:t xml:space="preserve">i spełniać wymagania PN-EN 12368:2006 i PN-EN 12368. </w:t>
      </w:r>
    </w:p>
    <w:p w14:paraId="1152C50E" w14:textId="77777777" w:rsidR="00824BB0" w:rsidRPr="00E94C23" w:rsidRDefault="00011187" w:rsidP="00E94C23">
      <w:pPr>
        <w:pStyle w:val="Akapitzlist"/>
        <w:numPr>
          <w:ilvl w:val="0"/>
          <w:numId w:val="22"/>
        </w:numPr>
        <w:spacing w:after="0" w:line="276" w:lineRule="auto"/>
        <w:jc w:val="both"/>
        <w:rPr>
          <w:rFonts w:ascii="Tahoma" w:hAnsi="Tahoma" w:cs="Tahoma"/>
          <w:sz w:val="22"/>
          <w:szCs w:val="22"/>
        </w:rPr>
      </w:pPr>
      <w:r w:rsidRPr="00E94C23">
        <w:rPr>
          <w:rFonts w:ascii="Tahoma" w:eastAsia="TimesNewRoman" w:hAnsi="Tahoma" w:cs="Tahoma"/>
          <w:sz w:val="22"/>
          <w:szCs w:val="22"/>
        </w:rPr>
        <w:t xml:space="preserve">Dla każdego z wlotów skrzyżowania należy zapewnić co najmniej po dwa sygnalizatory – jeden zlokalizowany z prawej strony jezdni, drugi natomiast znajdujący się nad jezdnią. Stąd też należy przewidzieć odpowiednią liczbę masztów wysokich i niskich, tak aby ten warunek zrealizować. </w:t>
      </w:r>
    </w:p>
    <w:p w14:paraId="2F5E5D7D" w14:textId="77777777" w:rsidR="00824BB0" w:rsidRPr="00E94C23" w:rsidRDefault="00011187" w:rsidP="00E94C23">
      <w:pPr>
        <w:pStyle w:val="Akapitzlist"/>
        <w:numPr>
          <w:ilvl w:val="0"/>
          <w:numId w:val="22"/>
        </w:numPr>
        <w:spacing w:after="0" w:line="276" w:lineRule="auto"/>
        <w:jc w:val="both"/>
        <w:rPr>
          <w:rFonts w:ascii="Tahoma" w:hAnsi="Tahoma" w:cs="Tahoma"/>
          <w:sz w:val="22"/>
          <w:szCs w:val="22"/>
        </w:rPr>
      </w:pPr>
      <w:r w:rsidRPr="00E94C23">
        <w:rPr>
          <w:rFonts w:ascii="Tahoma" w:eastAsia="TimesNewRoman" w:hAnsi="Tahoma" w:cs="Tahoma"/>
          <w:bCs/>
          <w:sz w:val="22"/>
          <w:szCs w:val="22"/>
          <w:lang w:eastAsia="pl-PL"/>
        </w:rPr>
        <w:t>Dla sygnalizatorów montowanych nad jezdnią przewiduje się zastosowanie ekranów kontrastowych owalnych analogicznych do innych tego typu elementów stosowanych na terenie Gdyni.</w:t>
      </w:r>
      <w:r w:rsidRPr="00E94C23">
        <w:rPr>
          <w:rFonts w:ascii="Tahoma" w:eastAsia="TimesNewRoman" w:hAnsi="Tahoma" w:cs="Tahoma"/>
          <w:sz w:val="22"/>
          <w:szCs w:val="22"/>
        </w:rPr>
        <w:t xml:space="preserve"> </w:t>
      </w:r>
    </w:p>
    <w:p w14:paraId="52354F1D" w14:textId="3DA08032" w:rsidR="00824BB0" w:rsidRPr="00E94C23" w:rsidRDefault="00011187" w:rsidP="00E94C23">
      <w:pPr>
        <w:pStyle w:val="Akapitzlist"/>
        <w:numPr>
          <w:ilvl w:val="0"/>
          <w:numId w:val="22"/>
        </w:numPr>
        <w:spacing w:after="0" w:line="276" w:lineRule="auto"/>
        <w:jc w:val="both"/>
        <w:rPr>
          <w:rFonts w:ascii="Tahoma" w:hAnsi="Tahoma" w:cs="Tahoma"/>
          <w:sz w:val="22"/>
          <w:szCs w:val="22"/>
        </w:rPr>
      </w:pPr>
      <w:r w:rsidRPr="00E94C23">
        <w:rPr>
          <w:rFonts w:ascii="Tahoma" w:eastAsia="TimesNewRoman" w:hAnsi="Tahoma" w:cs="Tahoma"/>
          <w:sz w:val="22"/>
          <w:szCs w:val="22"/>
        </w:rPr>
        <w:t xml:space="preserve">Liczba i lokalizacja masztów sygnalizacji świetlnej powinna być taka, aby odległość od linii warunkowego zatrzymania wszystkich sygnalizatorów na wysięgnikach (nad jezdnią), była co najmniej zbliżona do wartości </w:t>
      </w:r>
      <w:r w:rsidR="00B12FBD" w:rsidRPr="00E94C23">
        <w:rPr>
          <w:rFonts w:ascii="Tahoma" w:eastAsia="TimesNewRoman" w:hAnsi="Tahoma" w:cs="Tahoma"/>
          <w:sz w:val="22"/>
          <w:szCs w:val="22"/>
        </w:rPr>
        <w:t>zalecan</w:t>
      </w:r>
      <w:r w:rsidR="008B5401" w:rsidRPr="00E94C23">
        <w:rPr>
          <w:rFonts w:ascii="Tahoma" w:eastAsia="TimesNewRoman" w:hAnsi="Tahoma" w:cs="Tahoma"/>
          <w:sz w:val="22"/>
          <w:szCs w:val="22"/>
        </w:rPr>
        <w:t>ej</w:t>
      </w:r>
      <w:r w:rsidR="00B12FBD" w:rsidRPr="00E94C23">
        <w:rPr>
          <w:rFonts w:ascii="Tahoma" w:eastAsia="TimesNewRoman" w:hAnsi="Tahoma" w:cs="Tahoma"/>
          <w:sz w:val="22"/>
          <w:szCs w:val="22"/>
        </w:rPr>
        <w:t xml:space="preserve"> </w:t>
      </w:r>
      <w:r w:rsidRPr="00E94C23">
        <w:rPr>
          <w:rFonts w:ascii="Tahoma" w:eastAsia="TimesNewRoman" w:hAnsi="Tahoma" w:cs="Tahoma"/>
          <w:sz w:val="22"/>
          <w:szCs w:val="22"/>
        </w:rPr>
        <w:t>przedstawion</w:t>
      </w:r>
      <w:r w:rsidR="008B5401" w:rsidRPr="00E94C23">
        <w:rPr>
          <w:rFonts w:ascii="Tahoma" w:eastAsia="TimesNewRoman" w:hAnsi="Tahoma" w:cs="Tahoma"/>
          <w:sz w:val="22"/>
          <w:szCs w:val="22"/>
        </w:rPr>
        <w:t>ej</w:t>
      </w:r>
      <w:r w:rsidRPr="00E94C23">
        <w:rPr>
          <w:rFonts w:ascii="Tahoma" w:eastAsia="TimesNewRoman" w:hAnsi="Tahoma" w:cs="Tahoma"/>
          <w:sz w:val="22"/>
          <w:szCs w:val="22"/>
        </w:rPr>
        <w:t xml:space="preserve"> w </w:t>
      </w:r>
      <w:r w:rsidR="000B48DE" w:rsidRPr="00E94C23">
        <w:rPr>
          <w:rFonts w:ascii="Tahoma" w:eastAsia="TimesNewRoman" w:hAnsi="Tahoma" w:cs="Tahoma"/>
          <w:sz w:val="22"/>
          <w:szCs w:val="22"/>
        </w:rPr>
        <w:t>„</w:t>
      </w:r>
      <w:r w:rsidRPr="00E94C23">
        <w:rPr>
          <w:rFonts w:ascii="Tahoma" w:eastAsia="TimesNewRoman" w:hAnsi="Tahoma" w:cs="Tahoma"/>
          <w:i/>
          <w:sz w:val="22"/>
          <w:szCs w:val="22"/>
        </w:rPr>
        <w:t>Rozporządzeniu Ministra Infrastruktury z dnia 3 lipca 2003 r. w sprawie szczegółowych warunków technicznych dla znaków i sygnałów drogowych oraz urządzeń bezpieczeństwa ruchu drogowego i warunków ich umieszczania na drogach</w:t>
      </w:r>
      <w:r w:rsidRPr="00E94C23">
        <w:rPr>
          <w:rFonts w:ascii="Tahoma" w:eastAsia="TimesNewRoman" w:hAnsi="Tahoma" w:cs="Tahoma"/>
          <w:sz w:val="22"/>
          <w:szCs w:val="22"/>
        </w:rPr>
        <w:t>.</w:t>
      </w:r>
      <w:r w:rsidR="00824BB0" w:rsidRPr="00E94C23">
        <w:rPr>
          <w:rFonts w:ascii="Tahoma" w:eastAsia="TimesNewRoman" w:hAnsi="Tahoma" w:cs="Tahoma"/>
          <w:sz w:val="22"/>
          <w:szCs w:val="22"/>
        </w:rPr>
        <w:t>”</w:t>
      </w:r>
    </w:p>
    <w:p w14:paraId="6228E90B" w14:textId="77777777" w:rsidR="00824BB0" w:rsidRPr="00E94C23" w:rsidRDefault="00824BB0" w:rsidP="00E94C23">
      <w:pPr>
        <w:pStyle w:val="Akapitzlist"/>
        <w:numPr>
          <w:ilvl w:val="0"/>
          <w:numId w:val="22"/>
        </w:numPr>
        <w:spacing w:after="0" w:line="276" w:lineRule="auto"/>
        <w:jc w:val="both"/>
        <w:rPr>
          <w:rFonts w:ascii="Tahoma" w:eastAsia="TimesNewRoman" w:hAnsi="Tahoma" w:cs="Tahoma"/>
          <w:sz w:val="22"/>
          <w:szCs w:val="22"/>
        </w:rPr>
      </w:pPr>
      <w:r w:rsidRPr="00E94C23">
        <w:rPr>
          <w:rFonts w:ascii="Tahoma" w:eastAsia="TimesNewRoman" w:hAnsi="Tahoma" w:cs="Tahoma"/>
          <w:sz w:val="22"/>
          <w:szCs w:val="22"/>
        </w:rPr>
        <w:t>Dodatkowo projektowane s</w:t>
      </w:r>
      <w:r w:rsidR="00011187" w:rsidRPr="00E94C23">
        <w:rPr>
          <w:rFonts w:ascii="Tahoma" w:eastAsia="TimesNewRoman" w:hAnsi="Tahoma" w:cs="Tahoma"/>
          <w:sz w:val="22"/>
          <w:szCs w:val="22"/>
        </w:rPr>
        <w:t xml:space="preserve">ygnalizatory </w:t>
      </w:r>
      <w:r w:rsidRPr="00E94C23">
        <w:rPr>
          <w:rFonts w:ascii="Tahoma" w:eastAsia="TimesNewRoman" w:hAnsi="Tahoma" w:cs="Tahoma"/>
          <w:sz w:val="22"/>
          <w:szCs w:val="22"/>
        </w:rPr>
        <w:t>spełniać następujące wymagania:</w:t>
      </w:r>
      <w:r w:rsidR="00011187" w:rsidRPr="00E94C23">
        <w:rPr>
          <w:rFonts w:ascii="Tahoma" w:eastAsia="TimesNewRoman" w:hAnsi="Tahoma" w:cs="Tahoma"/>
          <w:sz w:val="22"/>
          <w:szCs w:val="22"/>
        </w:rPr>
        <w:t xml:space="preserve"> </w:t>
      </w:r>
    </w:p>
    <w:p w14:paraId="56813F35" w14:textId="77777777" w:rsidR="00DD7126" w:rsidRPr="00E94C23" w:rsidRDefault="00824BB0" w:rsidP="00E94C23">
      <w:pPr>
        <w:pStyle w:val="Akapitzlist"/>
        <w:numPr>
          <w:ilvl w:val="2"/>
          <w:numId w:val="24"/>
        </w:numPr>
        <w:spacing w:after="0" w:line="276" w:lineRule="auto"/>
        <w:ind w:left="2263" w:hanging="284"/>
        <w:jc w:val="both"/>
        <w:rPr>
          <w:rFonts w:ascii="Tahoma" w:eastAsia="TimesNewRoman" w:hAnsi="Tahoma" w:cs="Tahoma"/>
          <w:sz w:val="22"/>
          <w:szCs w:val="22"/>
        </w:rPr>
      </w:pPr>
      <w:r w:rsidRPr="00E94C23">
        <w:rPr>
          <w:rFonts w:ascii="Tahoma" w:eastAsia="TimesNewRoman" w:hAnsi="Tahoma" w:cs="Tahoma"/>
          <w:sz w:val="22"/>
          <w:szCs w:val="22"/>
        </w:rPr>
        <w:t xml:space="preserve">powinny </w:t>
      </w:r>
      <w:r w:rsidR="00011187" w:rsidRPr="00E94C23">
        <w:rPr>
          <w:rFonts w:ascii="Tahoma" w:eastAsia="TimesNewRoman" w:hAnsi="Tahoma" w:cs="Tahoma"/>
          <w:sz w:val="22"/>
          <w:szCs w:val="22"/>
        </w:rPr>
        <w:t xml:space="preserve">odpowiadać co najmniej IV klasie fantomowej zgodnie z </w:t>
      </w:r>
      <w:r w:rsidRPr="00E94C23">
        <w:rPr>
          <w:rFonts w:ascii="Tahoma" w:eastAsia="TimesNewRoman" w:hAnsi="Tahoma" w:cs="Tahoma"/>
          <w:sz w:val="22"/>
          <w:szCs w:val="22"/>
        </w:rPr>
        <w:t xml:space="preserve">normą </w:t>
      </w:r>
      <w:r w:rsidR="00011187" w:rsidRPr="00E94C23">
        <w:rPr>
          <w:rFonts w:ascii="Tahoma" w:eastAsia="TimesNewRoman" w:hAnsi="Tahoma" w:cs="Tahoma"/>
          <w:sz w:val="22"/>
          <w:szCs w:val="22"/>
        </w:rPr>
        <w:t>EN-PN 12368,</w:t>
      </w:r>
    </w:p>
    <w:p w14:paraId="3762C9E4" w14:textId="77777777" w:rsidR="00DD7126" w:rsidRPr="00E94C23" w:rsidRDefault="00824BB0" w:rsidP="00E94C23">
      <w:pPr>
        <w:pStyle w:val="Akapitzlist1"/>
        <w:numPr>
          <w:ilvl w:val="2"/>
          <w:numId w:val="24"/>
        </w:numPr>
        <w:spacing w:before="0" w:line="276" w:lineRule="auto"/>
        <w:ind w:left="2263" w:hanging="284"/>
        <w:jc w:val="both"/>
        <w:rPr>
          <w:rFonts w:ascii="Tahoma" w:eastAsia="TimesNewRoman" w:hAnsi="Tahoma" w:cs="Tahoma"/>
          <w:sz w:val="22"/>
          <w:szCs w:val="22"/>
        </w:rPr>
      </w:pPr>
      <w:r w:rsidRPr="00E94C23">
        <w:rPr>
          <w:rFonts w:ascii="Tahoma" w:eastAsia="TimesNewRoman" w:hAnsi="Tahoma" w:cs="Tahoma"/>
          <w:sz w:val="22"/>
          <w:szCs w:val="22"/>
        </w:rPr>
        <w:t>powinny mieć</w:t>
      </w:r>
      <w:r w:rsidR="00011187" w:rsidRPr="00E94C23">
        <w:rPr>
          <w:rFonts w:ascii="Tahoma" w:eastAsia="TimesNewRoman" w:hAnsi="Tahoma" w:cs="Tahoma"/>
          <w:sz w:val="22"/>
          <w:szCs w:val="22"/>
        </w:rPr>
        <w:t xml:space="preserve"> możliwość redukcji strumienia świetlnego,</w:t>
      </w:r>
    </w:p>
    <w:p w14:paraId="63E81069" w14:textId="77777777" w:rsidR="00DD7126" w:rsidRPr="00E94C23" w:rsidRDefault="00824BB0" w:rsidP="00E94C23">
      <w:pPr>
        <w:pStyle w:val="Akapitzlist1"/>
        <w:numPr>
          <w:ilvl w:val="2"/>
          <w:numId w:val="24"/>
        </w:numPr>
        <w:spacing w:before="0" w:line="276" w:lineRule="auto"/>
        <w:ind w:left="2263" w:hanging="284"/>
        <w:jc w:val="both"/>
        <w:rPr>
          <w:rFonts w:ascii="Tahoma" w:eastAsia="TimesNewRoman" w:hAnsi="Tahoma" w:cs="Tahoma"/>
          <w:sz w:val="22"/>
          <w:szCs w:val="22"/>
        </w:rPr>
      </w:pPr>
      <w:r w:rsidRPr="00E94C23">
        <w:rPr>
          <w:rFonts w:ascii="Tahoma" w:eastAsia="TimesNewRoman" w:hAnsi="Tahoma" w:cs="Tahoma"/>
          <w:sz w:val="22"/>
          <w:szCs w:val="22"/>
        </w:rPr>
        <w:t>powinny być wyposażone</w:t>
      </w:r>
      <w:r w:rsidR="00011187" w:rsidRPr="00E94C23">
        <w:rPr>
          <w:rFonts w:ascii="Tahoma" w:eastAsia="TimesNewRoman" w:hAnsi="Tahoma" w:cs="Tahoma"/>
          <w:sz w:val="22"/>
          <w:szCs w:val="22"/>
        </w:rPr>
        <w:t xml:space="preserve"> w źródła światła LED o niskim poborze mocy tj. nie większym niż 1</w:t>
      </w:r>
      <w:r w:rsidRPr="00E94C23">
        <w:rPr>
          <w:rFonts w:ascii="Tahoma" w:eastAsia="TimesNewRoman" w:hAnsi="Tahoma" w:cs="Tahoma"/>
          <w:sz w:val="22"/>
          <w:szCs w:val="22"/>
        </w:rPr>
        <w:t>6</w:t>
      </w:r>
      <w:r w:rsidR="00011187" w:rsidRPr="00E94C23">
        <w:rPr>
          <w:rFonts w:ascii="Tahoma" w:eastAsia="TimesNewRoman" w:hAnsi="Tahoma" w:cs="Tahoma"/>
          <w:sz w:val="22"/>
          <w:szCs w:val="22"/>
        </w:rPr>
        <w:t>W,</w:t>
      </w:r>
    </w:p>
    <w:p w14:paraId="58CA6B27" w14:textId="77777777" w:rsidR="00DD7126" w:rsidRPr="00E94C23" w:rsidRDefault="00824BB0" w:rsidP="00E94C23">
      <w:pPr>
        <w:pStyle w:val="Akapitzlist1"/>
        <w:numPr>
          <w:ilvl w:val="2"/>
          <w:numId w:val="24"/>
        </w:numPr>
        <w:spacing w:before="0" w:line="276" w:lineRule="auto"/>
        <w:ind w:left="2263" w:hanging="284"/>
        <w:jc w:val="both"/>
        <w:rPr>
          <w:rFonts w:ascii="Tahoma" w:eastAsia="TimesNewRoman" w:hAnsi="Tahoma" w:cs="Tahoma"/>
          <w:sz w:val="22"/>
          <w:szCs w:val="22"/>
        </w:rPr>
      </w:pPr>
      <w:r w:rsidRPr="00E94C23">
        <w:rPr>
          <w:rFonts w:ascii="Tahoma" w:eastAsia="TimesNewRoman" w:hAnsi="Tahoma" w:cs="Tahoma"/>
          <w:sz w:val="22"/>
          <w:szCs w:val="22"/>
        </w:rPr>
        <w:t xml:space="preserve">powinny charakteryzować się </w:t>
      </w:r>
      <w:r w:rsidR="00011187" w:rsidRPr="00E94C23">
        <w:rPr>
          <w:rFonts w:ascii="Tahoma" w:eastAsia="TimesNewRoman" w:hAnsi="Tahoma" w:cs="Tahoma"/>
          <w:sz w:val="22"/>
          <w:szCs w:val="22"/>
        </w:rPr>
        <w:t>napięcie</w:t>
      </w:r>
      <w:r w:rsidRPr="00E94C23">
        <w:rPr>
          <w:rFonts w:ascii="Tahoma" w:eastAsia="TimesNewRoman" w:hAnsi="Tahoma" w:cs="Tahoma"/>
          <w:sz w:val="22"/>
          <w:szCs w:val="22"/>
        </w:rPr>
        <w:t>m</w:t>
      </w:r>
      <w:r w:rsidR="00011187" w:rsidRPr="00E94C23">
        <w:rPr>
          <w:rFonts w:ascii="Tahoma" w:eastAsia="TimesNewRoman" w:hAnsi="Tahoma" w:cs="Tahoma"/>
          <w:sz w:val="22"/>
          <w:szCs w:val="22"/>
        </w:rPr>
        <w:t xml:space="preserve"> zasilając</w:t>
      </w:r>
      <w:r w:rsidRPr="00E94C23">
        <w:rPr>
          <w:rFonts w:ascii="Tahoma" w:eastAsia="TimesNewRoman" w:hAnsi="Tahoma" w:cs="Tahoma"/>
          <w:sz w:val="22"/>
          <w:szCs w:val="22"/>
        </w:rPr>
        <w:t>ym</w:t>
      </w:r>
      <w:r w:rsidR="00011187" w:rsidRPr="00E94C23">
        <w:rPr>
          <w:rFonts w:ascii="Tahoma" w:eastAsia="TimesNewRoman" w:hAnsi="Tahoma" w:cs="Tahoma"/>
          <w:sz w:val="22"/>
          <w:szCs w:val="22"/>
        </w:rPr>
        <w:t xml:space="preserve"> </w:t>
      </w:r>
      <w:r w:rsidR="006F4E3D" w:rsidRPr="00E94C23">
        <w:rPr>
          <w:rFonts w:ascii="Tahoma" w:eastAsia="TimesNewRoman" w:hAnsi="Tahoma" w:cs="Tahoma"/>
          <w:sz w:val="22"/>
          <w:szCs w:val="22"/>
        </w:rPr>
        <w:t>230</w:t>
      </w:r>
      <w:r w:rsidR="00011187" w:rsidRPr="00E94C23">
        <w:rPr>
          <w:rFonts w:ascii="Tahoma" w:eastAsia="TimesNewRoman" w:hAnsi="Tahoma" w:cs="Tahoma"/>
          <w:sz w:val="22"/>
          <w:szCs w:val="22"/>
        </w:rPr>
        <w:t xml:space="preserve"> V,</w:t>
      </w:r>
    </w:p>
    <w:p w14:paraId="687D9D4B" w14:textId="0D060061" w:rsidR="00DD7126" w:rsidRPr="00E94C23" w:rsidRDefault="00011187" w:rsidP="00E94C23">
      <w:pPr>
        <w:pStyle w:val="Akapitzlist1"/>
        <w:numPr>
          <w:ilvl w:val="2"/>
          <w:numId w:val="24"/>
        </w:numPr>
        <w:spacing w:before="0" w:line="276" w:lineRule="auto"/>
        <w:ind w:left="2263" w:hanging="284"/>
        <w:jc w:val="both"/>
        <w:rPr>
          <w:rFonts w:ascii="Tahoma" w:hAnsi="Tahoma" w:cs="Tahoma"/>
          <w:sz w:val="22"/>
          <w:szCs w:val="22"/>
        </w:rPr>
      </w:pPr>
      <w:r w:rsidRPr="00E94C23">
        <w:rPr>
          <w:rFonts w:ascii="Tahoma" w:hAnsi="Tahoma" w:cs="Tahoma"/>
          <w:sz w:val="22"/>
          <w:szCs w:val="22"/>
        </w:rPr>
        <w:t>k</w:t>
      </w:r>
      <w:r w:rsidRPr="00E94C23">
        <w:rPr>
          <w:rFonts w:ascii="Tahoma" w:eastAsia="TimesNewRoman" w:hAnsi="Tahoma" w:cs="Tahoma"/>
          <w:sz w:val="22"/>
          <w:szCs w:val="22"/>
        </w:rPr>
        <w:t>omory sygnałowe powinny posiadać równomierność luminancji sygnału świetlnego powierzchni świecącej nie mniejsza niż I</w:t>
      </w:r>
      <w:r w:rsidRPr="00E94C23">
        <w:rPr>
          <w:rFonts w:ascii="Tahoma" w:eastAsia="TimesNewRoman" w:hAnsi="Tahoma" w:cs="Tahoma"/>
          <w:sz w:val="22"/>
          <w:szCs w:val="22"/>
          <w:vertAlign w:val="subscript"/>
        </w:rPr>
        <w:t>min</w:t>
      </w:r>
      <w:r w:rsidRPr="00E94C23">
        <w:rPr>
          <w:rFonts w:ascii="Tahoma" w:eastAsia="TimesNewRoman" w:hAnsi="Tahoma" w:cs="Tahoma"/>
          <w:sz w:val="22"/>
          <w:szCs w:val="22"/>
        </w:rPr>
        <w:t>:I</w:t>
      </w:r>
      <w:r w:rsidRPr="00E94C23">
        <w:rPr>
          <w:rFonts w:ascii="Tahoma" w:eastAsia="TimesNewRoman" w:hAnsi="Tahoma" w:cs="Tahoma"/>
          <w:sz w:val="22"/>
          <w:szCs w:val="22"/>
          <w:vertAlign w:val="subscript"/>
        </w:rPr>
        <w:t>max</w:t>
      </w:r>
      <w:r w:rsidRPr="00E94C23">
        <w:rPr>
          <w:rFonts w:ascii="Tahoma" w:eastAsia="TimesNewRoman" w:hAnsi="Tahoma" w:cs="Tahoma"/>
          <w:sz w:val="22"/>
          <w:szCs w:val="22"/>
        </w:rPr>
        <w:t>&gt; 1:10</w:t>
      </w:r>
      <w:r w:rsidR="00003E97" w:rsidRPr="00E94C23">
        <w:rPr>
          <w:rFonts w:ascii="Tahoma" w:eastAsia="TimesNewRoman" w:hAnsi="Tahoma" w:cs="Tahoma"/>
          <w:sz w:val="22"/>
          <w:szCs w:val="22"/>
        </w:rPr>
        <w:t>,</w:t>
      </w:r>
    </w:p>
    <w:p w14:paraId="36083631" w14:textId="77777777" w:rsidR="00DD7126" w:rsidRPr="00E94C23" w:rsidRDefault="00011187" w:rsidP="00E94C23">
      <w:pPr>
        <w:pStyle w:val="Akapitzlist1"/>
        <w:numPr>
          <w:ilvl w:val="2"/>
          <w:numId w:val="24"/>
        </w:numPr>
        <w:spacing w:before="0" w:line="276" w:lineRule="auto"/>
        <w:ind w:left="2263" w:hanging="284"/>
        <w:jc w:val="both"/>
        <w:rPr>
          <w:rFonts w:ascii="Tahoma" w:hAnsi="Tahoma" w:cs="Tahoma"/>
          <w:sz w:val="22"/>
          <w:szCs w:val="22"/>
        </w:rPr>
      </w:pPr>
      <w:r w:rsidRPr="00E94C23">
        <w:rPr>
          <w:rFonts w:ascii="Tahoma" w:hAnsi="Tahoma" w:cs="Tahoma"/>
          <w:sz w:val="22"/>
          <w:szCs w:val="22"/>
        </w:rPr>
        <w:t>s</w:t>
      </w:r>
      <w:r w:rsidRPr="00E94C23">
        <w:rPr>
          <w:rFonts w:ascii="Tahoma" w:eastAsia="TimesNewRoman" w:hAnsi="Tahoma" w:cs="Tahoma"/>
          <w:sz w:val="22"/>
          <w:szCs w:val="22"/>
        </w:rPr>
        <w:t xml:space="preserve">ygnalizatory ze źródłem światła LED mają podlegać minimum </w:t>
      </w:r>
      <w:r w:rsidR="00824BB0" w:rsidRPr="00E94C23">
        <w:rPr>
          <w:rFonts w:ascii="Tahoma" w:eastAsia="TimesNewRoman" w:hAnsi="Tahoma" w:cs="Tahoma"/>
          <w:sz w:val="22"/>
          <w:szCs w:val="22"/>
        </w:rPr>
        <w:br/>
      </w:r>
      <w:r w:rsidRPr="00E94C23">
        <w:rPr>
          <w:rFonts w:ascii="Tahoma" w:eastAsia="TimesNewRoman" w:hAnsi="Tahoma" w:cs="Tahoma"/>
          <w:sz w:val="22"/>
          <w:szCs w:val="22"/>
        </w:rPr>
        <w:t>5 letniej gwarancji,</w:t>
      </w:r>
    </w:p>
    <w:p w14:paraId="7413B783" w14:textId="39276D1E" w:rsidR="00DD7126" w:rsidRPr="00E94C23" w:rsidRDefault="00011187" w:rsidP="00E94C23">
      <w:pPr>
        <w:pStyle w:val="Akapitzlist1"/>
        <w:numPr>
          <w:ilvl w:val="2"/>
          <w:numId w:val="24"/>
        </w:numPr>
        <w:spacing w:before="0" w:line="276" w:lineRule="auto"/>
        <w:ind w:left="2263" w:hanging="284"/>
        <w:jc w:val="both"/>
        <w:rPr>
          <w:rFonts w:ascii="Tahoma" w:hAnsi="Tahoma" w:cs="Tahoma"/>
          <w:sz w:val="22"/>
          <w:szCs w:val="22"/>
        </w:rPr>
      </w:pPr>
      <w:r w:rsidRPr="00E94C23">
        <w:rPr>
          <w:rFonts w:ascii="Tahoma" w:hAnsi="Tahoma" w:cs="Tahoma"/>
          <w:sz w:val="22"/>
          <w:szCs w:val="22"/>
        </w:rPr>
        <w:t>o</w:t>
      </w:r>
      <w:r w:rsidRPr="00E94C23">
        <w:rPr>
          <w:rFonts w:ascii="Tahoma" w:eastAsia="TimesNewRoman" w:hAnsi="Tahoma" w:cs="Tahoma"/>
          <w:sz w:val="22"/>
          <w:szCs w:val="22"/>
        </w:rPr>
        <w:t>budowy muszą być wykonane z poliwęglanu lub aluminium</w:t>
      </w:r>
      <w:r w:rsidR="00003E97" w:rsidRPr="00E94C23">
        <w:rPr>
          <w:rFonts w:ascii="Tahoma" w:eastAsia="TimesNewRoman" w:hAnsi="Tahoma" w:cs="Tahoma"/>
          <w:sz w:val="22"/>
          <w:szCs w:val="22"/>
        </w:rPr>
        <w:t>,</w:t>
      </w:r>
      <w:r w:rsidRPr="00E94C23">
        <w:rPr>
          <w:rFonts w:ascii="Tahoma" w:eastAsia="TimesNewRoman" w:hAnsi="Tahoma" w:cs="Tahoma"/>
          <w:sz w:val="22"/>
          <w:szCs w:val="22"/>
        </w:rPr>
        <w:t xml:space="preserve"> </w:t>
      </w:r>
    </w:p>
    <w:p w14:paraId="337401E5" w14:textId="77777777" w:rsidR="00DD7126" w:rsidRPr="00E94C23" w:rsidRDefault="00011187" w:rsidP="00E94C23">
      <w:pPr>
        <w:pStyle w:val="Akapitzlist1"/>
        <w:numPr>
          <w:ilvl w:val="2"/>
          <w:numId w:val="24"/>
        </w:numPr>
        <w:spacing w:before="0" w:line="276" w:lineRule="auto"/>
        <w:ind w:left="2263" w:hanging="284"/>
        <w:jc w:val="both"/>
        <w:rPr>
          <w:rFonts w:ascii="Tahoma" w:hAnsi="Tahoma" w:cs="Tahoma"/>
          <w:sz w:val="22"/>
          <w:szCs w:val="22"/>
        </w:rPr>
      </w:pPr>
      <w:r w:rsidRPr="00E94C23">
        <w:rPr>
          <w:rFonts w:ascii="Tahoma" w:hAnsi="Tahoma" w:cs="Tahoma"/>
          <w:sz w:val="22"/>
          <w:szCs w:val="22"/>
        </w:rPr>
        <w:t>s</w:t>
      </w:r>
      <w:r w:rsidRPr="00E94C23">
        <w:rPr>
          <w:rFonts w:ascii="Tahoma" w:eastAsia="TimesNewRoman" w:hAnsi="Tahoma" w:cs="Tahoma"/>
          <w:sz w:val="22"/>
          <w:szCs w:val="22"/>
        </w:rPr>
        <w:t>topień ochrony wkładu: IP65,</w:t>
      </w:r>
    </w:p>
    <w:p w14:paraId="047977DA" w14:textId="77777777" w:rsidR="00DD7126" w:rsidRPr="00E94C23" w:rsidRDefault="00011187" w:rsidP="00E94C23">
      <w:pPr>
        <w:pStyle w:val="Akapitzlist1"/>
        <w:numPr>
          <w:ilvl w:val="2"/>
          <w:numId w:val="24"/>
        </w:numPr>
        <w:spacing w:before="0" w:line="276" w:lineRule="auto"/>
        <w:ind w:left="2263" w:hanging="284"/>
        <w:jc w:val="both"/>
        <w:rPr>
          <w:rFonts w:ascii="Tahoma" w:eastAsia="TimesNewRoman" w:hAnsi="Tahoma" w:cs="Tahoma"/>
          <w:bCs/>
          <w:sz w:val="22"/>
          <w:szCs w:val="22"/>
        </w:rPr>
      </w:pPr>
      <w:r w:rsidRPr="00E94C23">
        <w:rPr>
          <w:rFonts w:ascii="Tahoma" w:eastAsia="TimesNewRoman" w:hAnsi="Tahoma" w:cs="Tahoma"/>
          <w:bCs/>
          <w:sz w:val="22"/>
          <w:szCs w:val="22"/>
        </w:rPr>
        <w:t>sygnalizatory dla pieszych muszą być wyposażon</w:t>
      </w:r>
      <w:r w:rsidR="00824BB0" w:rsidRPr="00E94C23">
        <w:rPr>
          <w:rFonts w:ascii="Tahoma" w:eastAsia="TimesNewRoman" w:hAnsi="Tahoma" w:cs="Tahoma"/>
          <w:bCs/>
          <w:sz w:val="22"/>
          <w:szCs w:val="22"/>
        </w:rPr>
        <w:t>e w stosowne sygnały akustyczne,</w:t>
      </w:r>
    </w:p>
    <w:p w14:paraId="42F78883" w14:textId="77777777" w:rsidR="00824BB0" w:rsidRPr="00E94C23" w:rsidRDefault="00824BB0" w:rsidP="00E94C23">
      <w:pPr>
        <w:pStyle w:val="Akapitzlist1"/>
        <w:numPr>
          <w:ilvl w:val="2"/>
          <w:numId w:val="24"/>
        </w:numPr>
        <w:spacing w:before="0" w:line="276" w:lineRule="auto"/>
        <w:ind w:left="2263" w:hanging="284"/>
        <w:jc w:val="both"/>
        <w:rPr>
          <w:rFonts w:ascii="Tahoma" w:eastAsia="TimesNewRoman" w:hAnsi="Tahoma" w:cs="Tahoma"/>
          <w:bCs/>
          <w:sz w:val="22"/>
          <w:szCs w:val="22"/>
        </w:rPr>
      </w:pPr>
      <w:r w:rsidRPr="00E94C23">
        <w:rPr>
          <w:rFonts w:ascii="Tahoma" w:eastAsia="TimesNewRoman" w:hAnsi="Tahoma" w:cs="Tahoma"/>
          <w:bCs/>
          <w:sz w:val="22"/>
          <w:szCs w:val="22"/>
        </w:rPr>
        <w:t>Wykonawca robót powinien dostarczyć wszelkie niezbędne potwierdzenia, że zastosowane urządzenia spełniają wszystkie stosowane dla nich normy i certyfikaty.</w:t>
      </w:r>
    </w:p>
    <w:p w14:paraId="2D3CEAC6" w14:textId="77777777" w:rsidR="00DD7126" w:rsidRPr="00E94C23" w:rsidRDefault="00011187" w:rsidP="00E94C23">
      <w:pPr>
        <w:pStyle w:val="Nagwek31"/>
        <w:numPr>
          <w:ilvl w:val="0"/>
          <w:numId w:val="2"/>
        </w:numPr>
        <w:spacing w:before="0" w:after="0" w:line="276" w:lineRule="auto"/>
        <w:rPr>
          <w:rFonts w:ascii="Tahoma" w:hAnsi="Tahoma"/>
          <w:sz w:val="22"/>
        </w:rPr>
      </w:pPr>
      <w:bookmarkStart w:id="5" w:name="Bookmark5"/>
      <w:r w:rsidRPr="00E94C23">
        <w:rPr>
          <w:rFonts w:ascii="Tahoma" w:hAnsi="Tahoma"/>
          <w:sz w:val="22"/>
        </w:rPr>
        <w:t>System detekcji</w:t>
      </w:r>
      <w:bookmarkEnd w:id="5"/>
      <w:r w:rsidRPr="00E94C23">
        <w:rPr>
          <w:rFonts w:ascii="Tahoma" w:hAnsi="Tahoma"/>
          <w:sz w:val="22"/>
        </w:rPr>
        <w:t xml:space="preserve"> pojazdów</w:t>
      </w:r>
    </w:p>
    <w:p w14:paraId="150777F6" w14:textId="77777777" w:rsidR="00824BB0" w:rsidRPr="00E94C23" w:rsidRDefault="00824BB0" w:rsidP="00E94C23">
      <w:pPr>
        <w:pStyle w:val="Tekstpodstawowy"/>
        <w:numPr>
          <w:ilvl w:val="1"/>
          <w:numId w:val="25"/>
        </w:numPr>
        <w:spacing w:after="0"/>
        <w:jc w:val="both"/>
        <w:rPr>
          <w:rFonts w:ascii="Tahoma" w:hAnsi="Tahoma" w:cs="Tahoma"/>
          <w:sz w:val="22"/>
          <w:szCs w:val="22"/>
          <w:lang w:eastAsia="en-US" w:bidi="ar-SA"/>
        </w:rPr>
      </w:pPr>
      <w:r w:rsidRPr="00E94C23">
        <w:rPr>
          <w:rFonts w:ascii="Tahoma" w:hAnsi="Tahoma" w:cs="Tahoma"/>
          <w:sz w:val="22"/>
          <w:szCs w:val="22"/>
          <w:lang w:eastAsia="en-US" w:bidi="ar-SA"/>
        </w:rPr>
        <w:t>Należy zachować istniejąc</w:t>
      </w:r>
      <w:r w:rsidR="00A44A5F" w:rsidRPr="00E94C23">
        <w:rPr>
          <w:rFonts w:ascii="Tahoma" w:hAnsi="Tahoma" w:cs="Tahoma"/>
          <w:sz w:val="22"/>
          <w:szCs w:val="22"/>
          <w:lang w:eastAsia="en-US" w:bidi="ar-SA"/>
        </w:rPr>
        <w:t>ą</w:t>
      </w:r>
      <w:r w:rsidR="00A255B4" w:rsidRPr="00E94C23">
        <w:rPr>
          <w:rFonts w:ascii="Tahoma" w:hAnsi="Tahoma" w:cs="Tahoma"/>
          <w:sz w:val="22"/>
          <w:szCs w:val="22"/>
          <w:lang w:eastAsia="en-US" w:bidi="ar-SA"/>
        </w:rPr>
        <w:t xml:space="preserve"> formę</w:t>
      </w:r>
      <w:r w:rsidRPr="00E94C23">
        <w:rPr>
          <w:rFonts w:ascii="Tahoma" w:hAnsi="Tahoma" w:cs="Tahoma"/>
          <w:sz w:val="22"/>
          <w:szCs w:val="22"/>
          <w:lang w:eastAsia="en-US" w:bidi="ar-SA"/>
        </w:rPr>
        <w:t xml:space="preserve"> detekcj</w:t>
      </w:r>
      <w:r w:rsidR="00A255B4" w:rsidRPr="00E94C23">
        <w:rPr>
          <w:rFonts w:ascii="Tahoma" w:hAnsi="Tahoma" w:cs="Tahoma"/>
          <w:sz w:val="22"/>
          <w:szCs w:val="22"/>
          <w:lang w:eastAsia="en-US" w:bidi="ar-SA"/>
        </w:rPr>
        <w:t>i</w:t>
      </w:r>
      <w:r w:rsidRPr="00E94C23">
        <w:rPr>
          <w:rFonts w:ascii="Tahoma" w:hAnsi="Tahoma" w:cs="Tahoma"/>
          <w:sz w:val="22"/>
          <w:szCs w:val="22"/>
          <w:lang w:eastAsia="en-US" w:bidi="ar-SA"/>
        </w:rPr>
        <w:t xml:space="preserve"> pojazdów z wykorzystaniem pętli </w:t>
      </w:r>
      <w:r w:rsidRPr="00E94C23">
        <w:rPr>
          <w:rFonts w:ascii="Tahoma" w:hAnsi="Tahoma" w:cs="Tahoma"/>
          <w:sz w:val="22"/>
          <w:szCs w:val="22"/>
          <w:lang w:eastAsia="en-US" w:bidi="ar-SA"/>
        </w:rPr>
        <w:lastRenderedPageBreak/>
        <w:t xml:space="preserve">indukcyjnych, których lokalizacja </w:t>
      </w:r>
      <w:r w:rsidR="00A44A5F" w:rsidRPr="00E94C23">
        <w:rPr>
          <w:rFonts w:ascii="Tahoma" w:hAnsi="Tahoma" w:cs="Tahoma"/>
          <w:sz w:val="22"/>
          <w:szCs w:val="22"/>
          <w:lang w:eastAsia="en-US" w:bidi="ar-SA"/>
        </w:rPr>
        <w:t>musi</w:t>
      </w:r>
      <w:r w:rsidRPr="00E94C23">
        <w:rPr>
          <w:rFonts w:ascii="Tahoma" w:hAnsi="Tahoma" w:cs="Tahoma"/>
          <w:sz w:val="22"/>
          <w:szCs w:val="22"/>
          <w:lang w:eastAsia="en-US" w:bidi="ar-SA"/>
        </w:rPr>
        <w:t xml:space="preserve"> być dostosowana do </w:t>
      </w:r>
      <w:r w:rsidR="00A17CB1" w:rsidRPr="00E94C23">
        <w:rPr>
          <w:rFonts w:ascii="Tahoma" w:hAnsi="Tahoma" w:cs="Tahoma"/>
          <w:sz w:val="22"/>
          <w:szCs w:val="22"/>
          <w:lang w:eastAsia="en-US" w:bidi="ar-SA"/>
        </w:rPr>
        <w:t xml:space="preserve">projektowanej organizacji ruchu </w:t>
      </w:r>
      <w:r w:rsidR="00A44A5F" w:rsidRPr="00E94C23">
        <w:rPr>
          <w:rFonts w:ascii="Tahoma" w:hAnsi="Tahoma" w:cs="Tahoma"/>
          <w:sz w:val="22"/>
          <w:szCs w:val="22"/>
          <w:lang w:eastAsia="en-US" w:bidi="ar-SA"/>
        </w:rPr>
        <w:t xml:space="preserve">oraz powinna gwarantować pełną funkcjonalność związaną </w:t>
      </w:r>
      <w:r w:rsidR="00A44A5F" w:rsidRPr="00E94C23">
        <w:rPr>
          <w:rFonts w:ascii="Tahoma" w:hAnsi="Tahoma" w:cs="Tahoma"/>
          <w:sz w:val="22"/>
          <w:szCs w:val="22"/>
          <w:lang w:eastAsia="en-US" w:bidi="ar-SA"/>
        </w:rPr>
        <w:br/>
        <w:t>z realizowanymi zadaniami.</w:t>
      </w:r>
    </w:p>
    <w:p w14:paraId="5A91DD86" w14:textId="77777777" w:rsidR="00DD7126" w:rsidRPr="00E94C23" w:rsidRDefault="00011187" w:rsidP="00E94C23">
      <w:pPr>
        <w:pStyle w:val="Nagwek31"/>
        <w:numPr>
          <w:ilvl w:val="0"/>
          <w:numId w:val="2"/>
        </w:numPr>
        <w:spacing w:before="0" w:after="0" w:line="276" w:lineRule="auto"/>
        <w:rPr>
          <w:rFonts w:ascii="Tahoma" w:hAnsi="Tahoma"/>
          <w:sz w:val="22"/>
        </w:rPr>
      </w:pPr>
      <w:r w:rsidRPr="00E94C23">
        <w:rPr>
          <w:rFonts w:ascii="Tahoma" w:hAnsi="Tahoma"/>
          <w:sz w:val="22"/>
        </w:rPr>
        <w:t>System detekcji pieszych</w:t>
      </w:r>
    </w:p>
    <w:p w14:paraId="28EC509F" w14:textId="77777777" w:rsidR="00A44A5F" w:rsidRPr="00E94C23" w:rsidRDefault="00A44A5F" w:rsidP="00E94C23">
      <w:pPr>
        <w:pStyle w:val="Akapitzlist"/>
        <w:numPr>
          <w:ilvl w:val="1"/>
          <w:numId w:val="26"/>
        </w:numPr>
        <w:spacing w:after="0" w:line="276" w:lineRule="auto"/>
        <w:jc w:val="both"/>
        <w:rPr>
          <w:rFonts w:ascii="Tahoma" w:eastAsia="TimesNewRoman" w:hAnsi="Tahoma" w:cs="Tahoma"/>
          <w:bCs/>
          <w:sz w:val="22"/>
          <w:szCs w:val="22"/>
        </w:rPr>
      </w:pPr>
      <w:r w:rsidRPr="00E94C23">
        <w:rPr>
          <w:rFonts w:ascii="Tahoma" w:eastAsia="TimesNewRoman" w:hAnsi="Tahoma" w:cs="Tahoma"/>
          <w:bCs/>
          <w:sz w:val="22"/>
          <w:szCs w:val="22"/>
        </w:rPr>
        <w:t>Przyciski dla pieszych należy zastosować wyłącznie na skrzyżowaniu Władysława IV – Obrońców Wybrzeża.</w:t>
      </w:r>
    </w:p>
    <w:p w14:paraId="0CDDAFAB" w14:textId="77777777" w:rsidR="00A44A5F" w:rsidRPr="00E94C23" w:rsidRDefault="00A44A5F" w:rsidP="00E94C23">
      <w:pPr>
        <w:pStyle w:val="Akapitzlist"/>
        <w:numPr>
          <w:ilvl w:val="1"/>
          <w:numId w:val="26"/>
        </w:numPr>
        <w:spacing w:after="0" w:line="276" w:lineRule="auto"/>
        <w:jc w:val="both"/>
        <w:rPr>
          <w:rFonts w:ascii="Tahoma" w:eastAsia="TimesNewRoman" w:hAnsi="Tahoma" w:cs="Tahoma"/>
          <w:bCs/>
          <w:sz w:val="22"/>
          <w:szCs w:val="22"/>
        </w:rPr>
      </w:pPr>
      <w:r w:rsidRPr="00E94C23">
        <w:rPr>
          <w:rFonts w:ascii="Tahoma" w:eastAsia="TimesNewRoman" w:hAnsi="Tahoma" w:cs="Tahoma"/>
          <w:bCs/>
          <w:sz w:val="22"/>
          <w:szCs w:val="22"/>
        </w:rPr>
        <w:t>Przyciski muszą</w:t>
      </w:r>
      <w:r w:rsidR="00011187" w:rsidRPr="00E94C23">
        <w:rPr>
          <w:rFonts w:ascii="Tahoma" w:eastAsia="TimesNewRoman" w:hAnsi="Tahoma" w:cs="Tahoma"/>
          <w:bCs/>
          <w:sz w:val="22"/>
          <w:szCs w:val="22"/>
        </w:rPr>
        <w:t xml:space="preserve"> posiada</w:t>
      </w:r>
      <w:r w:rsidRPr="00E94C23">
        <w:rPr>
          <w:rFonts w:ascii="Tahoma" w:eastAsia="TimesNewRoman" w:hAnsi="Tahoma" w:cs="Tahoma"/>
          <w:bCs/>
          <w:sz w:val="22"/>
          <w:szCs w:val="22"/>
        </w:rPr>
        <w:t>ć</w:t>
      </w:r>
      <w:r w:rsidR="00011187" w:rsidRPr="00E94C23">
        <w:rPr>
          <w:rFonts w:ascii="Tahoma" w:eastAsia="TimesNewRoman" w:hAnsi="Tahoma" w:cs="Tahoma"/>
          <w:bCs/>
          <w:sz w:val="22"/>
          <w:szCs w:val="22"/>
        </w:rPr>
        <w:t xml:space="preserve"> wizualne i dźwiękowe potwierdzenie przyjęcia zgłoszenia, a także dźwiękowe naprowadzanie</w:t>
      </w:r>
      <w:r w:rsidRPr="00E94C23">
        <w:rPr>
          <w:rFonts w:ascii="Tahoma" w:eastAsia="TimesNewRoman" w:hAnsi="Tahoma" w:cs="Tahoma"/>
          <w:bCs/>
          <w:sz w:val="22"/>
          <w:szCs w:val="22"/>
        </w:rPr>
        <w:t xml:space="preserve"> dla osób niedowidzących</w:t>
      </w:r>
      <w:r w:rsidR="00011187" w:rsidRPr="00E94C23">
        <w:rPr>
          <w:rFonts w:ascii="Tahoma" w:eastAsia="TimesNewRoman" w:hAnsi="Tahoma" w:cs="Tahoma"/>
          <w:bCs/>
          <w:sz w:val="22"/>
          <w:szCs w:val="22"/>
        </w:rPr>
        <w:t xml:space="preserve">. </w:t>
      </w:r>
    </w:p>
    <w:p w14:paraId="2FA8E6AC" w14:textId="77777777" w:rsidR="00DD7126" w:rsidRPr="00E94C23" w:rsidRDefault="00011187" w:rsidP="00E94C23">
      <w:pPr>
        <w:pStyle w:val="Akapitzlist"/>
        <w:numPr>
          <w:ilvl w:val="1"/>
          <w:numId w:val="26"/>
        </w:numPr>
        <w:spacing w:after="0" w:line="276" w:lineRule="auto"/>
        <w:jc w:val="both"/>
        <w:rPr>
          <w:rFonts w:ascii="Tahoma" w:hAnsi="Tahoma" w:cs="Tahoma"/>
          <w:sz w:val="22"/>
          <w:szCs w:val="22"/>
        </w:rPr>
      </w:pPr>
      <w:r w:rsidRPr="00E94C23">
        <w:rPr>
          <w:rFonts w:ascii="Tahoma" w:eastAsia="TimesNewRoman" w:hAnsi="Tahoma" w:cs="Tahoma"/>
          <w:bCs/>
          <w:sz w:val="22"/>
          <w:szCs w:val="22"/>
        </w:rPr>
        <w:t xml:space="preserve">Przyciski powinny być zlokalizowane na masztach sygnalizacji świetlnej </w:t>
      </w:r>
      <w:r w:rsidR="00A44A5F" w:rsidRPr="00E94C23">
        <w:rPr>
          <w:rFonts w:ascii="Tahoma" w:eastAsia="TimesNewRoman" w:hAnsi="Tahoma" w:cs="Tahoma"/>
          <w:bCs/>
          <w:sz w:val="22"/>
          <w:szCs w:val="22"/>
        </w:rPr>
        <w:br/>
      </w:r>
      <w:r w:rsidRPr="00E94C23">
        <w:rPr>
          <w:rFonts w:ascii="Tahoma" w:eastAsia="TimesNewRoman" w:hAnsi="Tahoma" w:cs="Tahoma"/>
          <w:bCs/>
          <w:sz w:val="22"/>
          <w:szCs w:val="22"/>
        </w:rPr>
        <w:t xml:space="preserve">i powinny znajdować się z każdej strony przejścia, w tym również na masztach sygnalizacji znajdujących się na pasie dzielącym. </w:t>
      </w:r>
      <w:r w:rsidRPr="00E94C23">
        <w:rPr>
          <w:rFonts w:ascii="Tahoma" w:hAnsi="Tahoma" w:cs="Tahoma"/>
          <w:sz w:val="22"/>
          <w:szCs w:val="22"/>
        </w:rPr>
        <w:t xml:space="preserve">Przyciski dla pieszych zlokalizowane na masztach powinny mieć za zadanie przekazywać żądanie wzbudzenia światła zielonego do sterownika. </w:t>
      </w:r>
      <w:r w:rsidRPr="00E94C23">
        <w:rPr>
          <w:rFonts w:ascii="Tahoma" w:eastAsia="TimesNewRoman" w:hAnsi="Tahoma" w:cs="Tahoma"/>
          <w:sz w:val="22"/>
          <w:szCs w:val="22"/>
        </w:rPr>
        <w:t>Przyciski powinny spełniać następujące wymagania:</w:t>
      </w:r>
    </w:p>
    <w:p w14:paraId="6B1DF9E4" w14:textId="77777777" w:rsidR="00DD7126" w:rsidRPr="00054A46" w:rsidRDefault="00011187">
      <w:pPr>
        <w:pStyle w:val="Akapitzlist1"/>
        <w:numPr>
          <w:ilvl w:val="2"/>
          <w:numId w:val="28"/>
        </w:numPr>
        <w:spacing w:before="0" w:line="276" w:lineRule="auto"/>
        <w:ind w:left="2263" w:hanging="284"/>
        <w:jc w:val="both"/>
        <w:rPr>
          <w:rFonts w:ascii="Tahoma" w:eastAsia="TimesNewRoman" w:hAnsi="Tahoma" w:cs="Tahoma"/>
          <w:sz w:val="22"/>
          <w:szCs w:val="22"/>
        </w:rPr>
      </w:pPr>
      <w:r w:rsidRPr="00054A46">
        <w:rPr>
          <w:rFonts w:ascii="Tahoma" w:eastAsia="TimesNewRoman" w:hAnsi="Tahoma" w:cs="Tahoma"/>
          <w:sz w:val="22"/>
          <w:szCs w:val="22"/>
        </w:rPr>
        <w:t>styki normalnie – rozwarte,</w:t>
      </w:r>
    </w:p>
    <w:p w14:paraId="780894F0" w14:textId="77777777" w:rsidR="00DD7126" w:rsidRPr="00E94C23" w:rsidRDefault="00011187" w:rsidP="00E94C23">
      <w:pPr>
        <w:pStyle w:val="Akapitzlist1"/>
        <w:numPr>
          <w:ilvl w:val="2"/>
          <w:numId w:val="28"/>
        </w:numPr>
        <w:spacing w:before="0" w:line="276" w:lineRule="auto"/>
        <w:ind w:left="2263" w:hanging="284"/>
        <w:jc w:val="both"/>
        <w:rPr>
          <w:rFonts w:ascii="Tahoma" w:eastAsia="TimesNewRoman" w:hAnsi="Tahoma" w:cs="Tahoma"/>
          <w:sz w:val="22"/>
          <w:szCs w:val="22"/>
        </w:rPr>
      </w:pPr>
      <w:r w:rsidRPr="00E94C23">
        <w:rPr>
          <w:rFonts w:ascii="Tahoma" w:eastAsia="TimesNewRoman" w:hAnsi="Tahoma" w:cs="Tahoma"/>
          <w:sz w:val="22"/>
          <w:szCs w:val="22"/>
        </w:rPr>
        <w:t>stopień ochrony nie mniejszy niż IP54,</w:t>
      </w:r>
    </w:p>
    <w:p w14:paraId="7C46B7CA" w14:textId="77777777" w:rsidR="00E6587E" w:rsidRPr="00E94C23" w:rsidRDefault="00011187" w:rsidP="00E94C23">
      <w:pPr>
        <w:pStyle w:val="Akapitzlist1"/>
        <w:numPr>
          <w:ilvl w:val="2"/>
          <w:numId w:val="28"/>
        </w:numPr>
        <w:spacing w:before="0" w:line="276" w:lineRule="auto"/>
        <w:ind w:left="2263" w:hanging="284"/>
        <w:jc w:val="both"/>
        <w:rPr>
          <w:rFonts w:ascii="Tahoma" w:eastAsia="TimesNewRoman" w:hAnsi="Tahoma" w:cs="Tahoma"/>
          <w:sz w:val="22"/>
          <w:szCs w:val="22"/>
        </w:rPr>
      </w:pPr>
      <w:r w:rsidRPr="00E94C23">
        <w:rPr>
          <w:rFonts w:ascii="Tahoma" w:eastAsia="TimesNewRoman" w:hAnsi="Tahoma" w:cs="Tahoma"/>
          <w:sz w:val="22"/>
          <w:szCs w:val="22"/>
        </w:rPr>
        <w:t>funkcja automatycznego restartu.</w:t>
      </w:r>
    </w:p>
    <w:sectPr w:rsidR="00E6587E" w:rsidRPr="00E94C23" w:rsidSect="00DD7126">
      <w:footerReference w:type="default" r:id="rId8"/>
      <w:pgSz w:w="11906" w:h="16838"/>
      <w:pgMar w:top="1417" w:right="1417" w:bottom="1417" w:left="1417" w:header="0" w:footer="708"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4C515" w14:textId="77777777" w:rsidR="00220DD9" w:rsidRDefault="00220DD9" w:rsidP="00DD7126">
      <w:r>
        <w:separator/>
      </w:r>
    </w:p>
  </w:endnote>
  <w:endnote w:type="continuationSeparator" w:id="0">
    <w:p w14:paraId="7751AF7B" w14:textId="77777777" w:rsidR="00220DD9" w:rsidRDefault="00220DD9" w:rsidP="00DD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4928396"/>
      <w:docPartObj>
        <w:docPartGallery w:val="Page Numbers (Bottom of Page)"/>
        <w:docPartUnique/>
      </w:docPartObj>
    </w:sdtPr>
    <w:sdtEndPr/>
    <w:sdtContent>
      <w:sdt>
        <w:sdtPr>
          <w:id w:val="1728636285"/>
          <w:docPartObj>
            <w:docPartGallery w:val="Page Numbers (Top of Page)"/>
            <w:docPartUnique/>
          </w:docPartObj>
        </w:sdtPr>
        <w:sdtEndPr/>
        <w:sdtContent>
          <w:p w14:paraId="5648E4F9" w14:textId="196A434D" w:rsidR="00E94C23" w:rsidRDefault="00E94C23">
            <w:pPr>
              <w:pStyle w:val="Stopka"/>
              <w:jc w:val="center"/>
            </w:pPr>
            <w:r>
              <w:t xml:space="preserve">Strona </w:t>
            </w:r>
            <w:r>
              <w:rPr>
                <w:b/>
                <w:bCs/>
                <w:szCs w:val="24"/>
              </w:rPr>
              <w:fldChar w:fldCharType="begin"/>
            </w:r>
            <w:r>
              <w:rPr>
                <w:b/>
                <w:bCs/>
              </w:rPr>
              <w:instrText>PAGE</w:instrText>
            </w:r>
            <w:r>
              <w:rPr>
                <w:b/>
                <w:bCs/>
                <w:szCs w:val="24"/>
              </w:rPr>
              <w:fldChar w:fldCharType="separate"/>
            </w:r>
            <w:r w:rsidR="00106953">
              <w:rPr>
                <w:b/>
                <w:bCs/>
                <w:noProof/>
              </w:rPr>
              <w:t>1</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sidR="00106953">
              <w:rPr>
                <w:b/>
                <w:bCs/>
                <w:noProof/>
              </w:rPr>
              <w:t>6</w:t>
            </w:r>
            <w:r>
              <w:rPr>
                <w:b/>
                <w:bCs/>
                <w:szCs w:val="24"/>
              </w:rPr>
              <w:fldChar w:fldCharType="end"/>
            </w:r>
          </w:p>
        </w:sdtContent>
      </w:sdt>
    </w:sdtContent>
  </w:sdt>
  <w:p w14:paraId="63E457BC" w14:textId="77777777" w:rsidR="00DD7126" w:rsidRDefault="00DD7126">
    <w:pPr>
      <w:pStyle w:val="Stopka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2A8BA" w14:textId="77777777" w:rsidR="00220DD9" w:rsidRDefault="00220DD9" w:rsidP="00DD7126">
      <w:r>
        <w:separator/>
      </w:r>
    </w:p>
  </w:footnote>
  <w:footnote w:type="continuationSeparator" w:id="0">
    <w:p w14:paraId="2C4DB123" w14:textId="77777777" w:rsidR="00220DD9" w:rsidRDefault="00220DD9" w:rsidP="00DD7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04823"/>
    <w:multiLevelType w:val="hybridMultilevel"/>
    <w:tmpl w:val="90C8EA60"/>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E31006"/>
    <w:multiLevelType w:val="multilevel"/>
    <w:tmpl w:val="C75472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 w15:restartNumberingAfterBreak="0">
    <w:nsid w:val="099954BB"/>
    <w:multiLevelType w:val="multilevel"/>
    <w:tmpl w:val="884C545A"/>
    <w:lvl w:ilvl="0">
      <w:start w:val="1"/>
      <w:numFmt w:val="low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3" w15:restartNumberingAfterBreak="0">
    <w:nsid w:val="159E0E48"/>
    <w:multiLevelType w:val="hybridMultilevel"/>
    <w:tmpl w:val="0C94C5F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280C15"/>
    <w:multiLevelType w:val="multilevel"/>
    <w:tmpl w:val="4894C9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5" w15:restartNumberingAfterBreak="0">
    <w:nsid w:val="1ADA572F"/>
    <w:multiLevelType w:val="multilevel"/>
    <w:tmpl w:val="D388AA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6" w15:restartNumberingAfterBreak="0">
    <w:nsid w:val="2DB25330"/>
    <w:multiLevelType w:val="multilevel"/>
    <w:tmpl w:val="429CBE1C"/>
    <w:lvl w:ilvl="0">
      <w:start w:val="1"/>
      <w:numFmt w:val="low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7" w15:restartNumberingAfterBreak="0">
    <w:nsid w:val="31164CEF"/>
    <w:multiLevelType w:val="multilevel"/>
    <w:tmpl w:val="5A0A8F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8" w15:restartNumberingAfterBreak="0">
    <w:nsid w:val="31FB35CE"/>
    <w:multiLevelType w:val="multilevel"/>
    <w:tmpl w:val="D51E5E48"/>
    <w:lvl w:ilvl="0">
      <w:start w:val="1"/>
      <w:numFmt w:val="lowerLetter"/>
      <w:lvlText w:val="%1."/>
      <w:lvlJc w:val="left"/>
      <w:pPr>
        <w:ind w:left="720" w:hanging="360"/>
      </w:pPr>
    </w:lvl>
    <w:lvl w:ilvl="1">
      <w:start w:val="1"/>
      <w:numFmt w:val="bullet"/>
      <w:lvlText w:val=""/>
      <w:lvlJc w:val="left"/>
      <w:pPr>
        <w:ind w:left="1440" w:hanging="360"/>
      </w:pPr>
      <w:rPr>
        <w:rFonts w:ascii="Symbol" w:hAnsi="Symbol" w:cs="Symbol" w:hint="default"/>
      </w:rPr>
    </w:lvl>
    <w:lvl w:ilvl="2">
      <w:start w:val="1"/>
      <w:numFmt w:val="lowerRoman"/>
      <w:lvlText w:val="%2.%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9" w15:restartNumberingAfterBreak="0">
    <w:nsid w:val="34AF5EC2"/>
    <w:multiLevelType w:val="hybridMultilevel"/>
    <w:tmpl w:val="263AD88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7654A43"/>
    <w:multiLevelType w:val="multilevel"/>
    <w:tmpl w:val="3F3E84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1" w15:restartNumberingAfterBreak="0">
    <w:nsid w:val="3BFA2BB1"/>
    <w:multiLevelType w:val="multilevel"/>
    <w:tmpl w:val="C03E7FBE"/>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180"/>
      </w:pPr>
      <w:rPr>
        <w:rFonts w:ascii="Symbol" w:hAnsi="Symbol" w:cs="Symbol" w:hint="default"/>
      </w:r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2" w15:restartNumberingAfterBreak="0">
    <w:nsid w:val="45382E12"/>
    <w:multiLevelType w:val="hybridMultilevel"/>
    <w:tmpl w:val="4CDE45E0"/>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7FB2726"/>
    <w:multiLevelType w:val="multilevel"/>
    <w:tmpl w:val="1EAACF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cs="Symbol" w:hint="default"/>
      </w:r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4" w15:restartNumberingAfterBreak="0">
    <w:nsid w:val="493716FF"/>
    <w:multiLevelType w:val="multilevel"/>
    <w:tmpl w:val="F878B68A"/>
    <w:lvl w:ilvl="0">
      <w:start w:val="1"/>
      <w:numFmt w:val="low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5" w15:restartNumberingAfterBreak="0">
    <w:nsid w:val="4BA07D3D"/>
    <w:multiLevelType w:val="multilevel"/>
    <w:tmpl w:val="C204BE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6" w15:restartNumberingAfterBreak="0">
    <w:nsid w:val="4BE26AEE"/>
    <w:multiLevelType w:val="multilevel"/>
    <w:tmpl w:val="FAB6B5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7" w15:restartNumberingAfterBreak="0">
    <w:nsid w:val="4EB70A25"/>
    <w:multiLevelType w:val="hybridMultilevel"/>
    <w:tmpl w:val="25E2C9D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EBC549F"/>
    <w:multiLevelType w:val="multilevel"/>
    <w:tmpl w:val="5F7CA7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cs="Symbol" w:hint="default"/>
      </w:r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9" w15:restartNumberingAfterBreak="0">
    <w:nsid w:val="52781ABF"/>
    <w:multiLevelType w:val="multilevel"/>
    <w:tmpl w:val="B3540D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0" w15:restartNumberingAfterBreak="0">
    <w:nsid w:val="53C90338"/>
    <w:multiLevelType w:val="hybridMultilevel"/>
    <w:tmpl w:val="398C2CE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E06571"/>
    <w:multiLevelType w:val="hybridMultilevel"/>
    <w:tmpl w:val="1E8652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7CA2E13"/>
    <w:multiLevelType w:val="multilevel"/>
    <w:tmpl w:val="9BFA6A42"/>
    <w:lvl w:ilvl="0">
      <w:start w:val="1"/>
      <w:numFmt w:val="low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3" w15:restartNumberingAfterBreak="0">
    <w:nsid w:val="5AE4194C"/>
    <w:multiLevelType w:val="multilevel"/>
    <w:tmpl w:val="76B0E24E"/>
    <w:lvl w:ilvl="0">
      <w:start w:val="1"/>
      <w:numFmt w:val="lowerLetter"/>
      <w:lvlText w:val="%1."/>
      <w:lvlJc w:val="left"/>
      <w:pPr>
        <w:ind w:left="720" w:hanging="360"/>
      </w:pPr>
    </w:lvl>
    <w:lvl w:ilvl="1">
      <w:start w:val="1"/>
      <w:numFmt w:val="bullet"/>
      <w:lvlText w:val=""/>
      <w:lvlJc w:val="left"/>
      <w:pPr>
        <w:ind w:left="1440" w:hanging="360"/>
      </w:pPr>
      <w:rPr>
        <w:rFonts w:ascii="Symbol" w:hAnsi="Symbol" w:cs="Symbol" w:hint="default"/>
      </w:rPr>
    </w:lvl>
    <w:lvl w:ilvl="2">
      <w:start w:val="1"/>
      <w:numFmt w:val="bullet"/>
      <w:lvlText w:val=""/>
      <w:lvlJc w:val="left"/>
      <w:pPr>
        <w:ind w:left="2160" w:hanging="180"/>
      </w:pPr>
      <w:rPr>
        <w:rFonts w:ascii="Symbol" w:hAnsi="Symbol" w:cs="Symbol" w:hint="default"/>
      </w:r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4" w15:restartNumberingAfterBreak="0">
    <w:nsid w:val="5D305703"/>
    <w:multiLevelType w:val="multilevel"/>
    <w:tmpl w:val="9E2A42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5" w15:restartNumberingAfterBreak="0">
    <w:nsid w:val="63B0328B"/>
    <w:multiLevelType w:val="multilevel"/>
    <w:tmpl w:val="9CA4C7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6" w15:restartNumberingAfterBreak="0">
    <w:nsid w:val="661D20C3"/>
    <w:multiLevelType w:val="hybridMultilevel"/>
    <w:tmpl w:val="25E2C9D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71970679"/>
    <w:multiLevelType w:val="multilevel"/>
    <w:tmpl w:val="FDD0AE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cs="Symbol" w:hint="default"/>
      </w:r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8" w15:restartNumberingAfterBreak="0">
    <w:nsid w:val="745F2EA7"/>
    <w:multiLevelType w:val="hybridMultilevel"/>
    <w:tmpl w:val="0BDC5C4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59816AD"/>
    <w:multiLevelType w:val="multilevel"/>
    <w:tmpl w:val="ECC84B80"/>
    <w:lvl w:ilvl="0">
      <w:start w:val="1"/>
      <w:numFmt w:val="decimal"/>
      <w:pStyle w:val="Nagwek21"/>
      <w:lvlText w:val="%1."/>
      <w:lvlJc w:val="left"/>
      <w:pPr>
        <w:ind w:left="0" w:firstLine="0"/>
      </w:pPr>
    </w:lvl>
    <w:lvl w:ilvl="1">
      <w:start w:val="1"/>
      <w:numFmt w:val="none"/>
      <w:suff w:val="nothing"/>
      <w:lvlText w:val=""/>
      <w:lvlJc w:val="left"/>
      <w:pPr>
        <w:tabs>
          <w:tab w:val="num" w:pos="576"/>
        </w:tabs>
        <w:ind w:left="576" w:hanging="576"/>
      </w:pPr>
    </w:lvl>
    <w:lvl w:ilvl="2">
      <w:start w:val="1"/>
      <w:numFmt w:val="none"/>
      <w:pStyle w:val="Nagwek31"/>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0" w15:restartNumberingAfterBreak="0">
    <w:nsid w:val="7E944F93"/>
    <w:multiLevelType w:val="multilevel"/>
    <w:tmpl w:val="348EB0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num w:numId="1">
    <w:abstractNumId w:val="29"/>
  </w:num>
  <w:num w:numId="2">
    <w:abstractNumId w:val="25"/>
  </w:num>
  <w:num w:numId="3">
    <w:abstractNumId w:val="30"/>
  </w:num>
  <w:num w:numId="4">
    <w:abstractNumId w:val="16"/>
  </w:num>
  <w:num w:numId="5">
    <w:abstractNumId w:val="24"/>
  </w:num>
  <w:num w:numId="6">
    <w:abstractNumId w:val="19"/>
  </w:num>
  <w:num w:numId="7">
    <w:abstractNumId w:val="4"/>
  </w:num>
  <w:num w:numId="8">
    <w:abstractNumId w:val="1"/>
  </w:num>
  <w:num w:numId="9">
    <w:abstractNumId w:val="15"/>
  </w:num>
  <w:num w:numId="10">
    <w:abstractNumId w:val="23"/>
  </w:num>
  <w:num w:numId="11">
    <w:abstractNumId w:val="13"/>
  </w:num>
  <w:num w:numId="12">
    <w:abstractNumId w:val="8"/>
  </w:num>
  <w:num w:numId="13">
    <w:abstractNumId w:val="11"/>
  </w:num>
  <w:num w:numId="14">
    <w:abstractNumId w:val="5"/>
  </w:num>
  <w:num w:numId="15">
    <w:abstractNumId w:val="27"/>
  </w:num>
  <w:num w:numId="16">
    <w:abstractNumId w:val="7"/>
  </w:num>
  <w:num w:numId="17">
    <w:abstractNumId w:val="18"/>
  </w:num>
  <w:num w:numId="18">
    <w:abstractNumId w:val="21"/>
  </w:num>
  <w:num w:numId="19">
    <w:abstractNumId w:val="0"/>
  </w:num>
  <w:num w:numId="20">
    <w:abstractNumId w:val="12"/>
  </w:num>
  <w:num w:numId="21">
    <w:abstractNumId w:val="17"/>
  </w:num>
  <w:num w:numId="22">
    <w:abstractNumId w:val="26"/>
  </w:num>
  <w:num w:numId="23">
    <w:abstractNumId w:val="14"/>
  </w:num>
  <w:num w:numId="24">
    <w:abstractNumId w:val="2"/>
  </w:num>
  <w:num w:numId="25">
    <w:abstractNumId w:val="28"/>
  </w:num>
  <w:num w:numId="26">
    <w:abstractNumId w:val="3"/>
  </w:num>
  <w:num w:numId="27">
    <w:abstractNumId w:val="22"/>
  </w:num>
  <w:num w:numId="28">
    <w:abstractNumId w:val="6"/>
  </w:num>
  <w:num w:numId="29">
    <w:abstractNumId w:val="20"/>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7126"/>
    <w:rsid w:val="00003E97"/>
    <w:rsid w:val="00011187"/>
    <w:rsid w:val="00021924"/>
    <w:rsid w:val="00051A36"/>
    <w:rsid w:val="00054A46"/>
    <w:rsid w:val="00072309"/>
    <w:rsid w:val="000B48DE"/>
    <w:rsid w:val="000D3FD2"/>
    <w:rsid w:val="000F506A"/>
    <w:rsid w:val="00106953"/>
    <w:rsid w:val="001074F5"/>
    <w:rsid w:val="0012739D"/>
    <w:rsid w:val="00142398"/>
    <w:rsid w:val="001B5587"/>
    <w:rsid w:val="001D01CD"/>
    <w:rsid w:val="001D6B7D"/>
    <w:rsid w:val="001E778B"/>
    <w:rsid w:val="00220DD9"/>
    <w:rsid w:val="00256B47"/>
    <w:rsid w:val="002A5798"/>
    <w:rsid w:val="002D294A"/>
    <w:rsid w:val="002E0F28"/>
    <w:rsid w:val="00332C41"/>
    <w:rsid w:val="003D6654"/>
    <w:rsid w:val="003E7451"/>
    <w:rsid w:val="00475B2C"/>
    <w:rsid w:val="004B49B0"/>
    <w:rsid w:val="00514680"/>
    <w:rsid w:val="00644B3F"/>
    <w:rsid w:val="00647579"/>
    <w:rsid w:val="00652F1B"/>
    <w:rsid w:val="006714F7"/>
    <w:rsid w:val="00690972"/>
    <w:rsid w:val="00691738"/>
    <w:rsid w:val="006A7BEC"/>
    <w:rsid w:val="006C0160"/>
    <w:rsid w:val="006C3E78"/>
    <w:rsid w:val="006F4E3D"/>
    <w:rsid w:val="00703313"/>
    <w:rsid w:val="00712A61"/>
    <w:rsid w:val="00746FB0"/>
    <w:rsid w:val="007738FD"/>
    <w:rsid w:val="007872D0"/>
    <w:rsid w:val="00791CB6"/>
    <w:rsid w:val="007C1156"/>
    <w:rsid w:val="007D6391"/>
    <w:rsid w:val="007F7BE3"/>
    <w:rsid w:val="00824BB0"/>
    <w:rsid w:val="00832E7D"/>
    <w:rsid w:val="008B5401"/>
    <w:rsid w:val="008F35BC"/>
    <w:rsid w:val="00906B9F"/>
    <w:rsid w:val="00920B44"/>
    <w:rsid w:val="00926BB2"/>
    <w:rsid w:val="00935590"/>
    <w:rsid w:val="009B7A80"/>
    <w:rsid w:val="00A17CB1"/>
    <w:rsid w:val="00A2149F"/>
    <w:rsid w:val="00A255B4"/>
    <w:rsid w:val="00A44A5F"/>
    <w:rsid w:val="00AC487D"/>
    <w:rsid w:val="00AD5066"/>
    <w:rsid w:val="00B12FBD"/>
    <w:rsid w:val="00B6017A"/>
    <w:rsid w:val="00B65078"/>
    <w:rsid w:val="00BD3FD7"/>
    <w:rsid w:val="00C411DD"/>
    <w:rsid w:val="00C77C92"/>
    <w:rsid w:val="00CD5B3D"/>
    <w:rsid w:val="00D2595B"/>
    <w:rsid w:val="00D62A2E"/>
    <w:rsid w:val="00D7707A"/>
    <w:rsid w:val="00DB57A4"/>
    <w:rsid w:val="00DD7126"/>
    <w:rsid w:val="00DF1B4D"/>
    <w:rsid w:val="00E02C1E"/>
    <w:rsid w:val="00E22FC1"/>
    <w:rsid w:val="00E318F7"/>
    <w:rsid w:val="00E6587E"/>
    <w:rsid w:val="00E87DE2"/>
    <w:rsid w:val="00E93C6A"/>
    <w:rsid w:val="00E94C23"/>
    <w:rsid w:val="00ED5060"/>
    <w:rsid w:val="00EF765C"/>
    <w:rsid w:val="00EF78B5"/>
    <w:rsid w:val="00F2796A"/>
    <w:rsid w:val="00F46E40"/>
    <w:rsid w:val="00F82476"/>
    <w:rsid w:val="00FB67DF"/>
    <w:rsid w:val="00FC222A"/>
    <w:rsid w:val="00FD5BB0"/>
    <w:rsid w:val="00FE0B38"/>
    <w:rsid w:val="00FF61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7BFEB"/>
  <w15:docId w15:val="{263C51EC-0DE2-4D4D-9215-487620AB1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7126"/>
    <w:pPr>
      <w:widowControl w:val="0"/>
      <w:suppressAutoHyphens/>
    </w:pPr>
    <w:rPr>
      <w:rFonts w:ascii="Times New Roman" w:eastAsia="SimSun" w:hAnsi="Times New Roman" w:cs="Mangal"/>
      <w:color w:val="00000A"/>
      <w:kern w:val="2"/>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21">
    <w:name w:val="Nagłówek 21"/>
    <w:basedOn w:val="Normalny"/>
    <w:next w:val="Tekstpodstawowy"/>
    <w:qFormat/>
    <w:rsid w:val="00DD7126"/>
    <w:pPr>
      <w:numPr>
        <w:numId w:val="1"/>
      </w:numPr>
      <w:spacing w:before="240" w:after="240"/>
      <w:outlineLvl w:val="0"/>
    </w:pPr>
  </w:style>
  <w:style w:type="paragraph" w:customStyle="1" w:styleId="Nagwek31">
    <w:name w:val="Nagłówek 31"/>
    <w:next w:val="Tekstpodstawowy"/>
    <w:qFormat/>
    <w:rsid w:val="00DD7126"/>
    <w:pPr>
      <w:widowControl w:val="0"/>
      <w:numPr>
        <w:ilvl w:val="2"/>
        <w:numId w:val="1"/>
      </w:numPr>
      <w:spacing w:before="120" w:after="240"/>
      <w:ind w:left="0" w:firstLine="0"/>
      <w:outlineLvl w:val="2"/>
    </w:pPr>
    <w:rPr>
      <w:b/>
    </w:rPr>
  </w:style>
  <w:style w:type="character" w:customStyle="1" w:styleId="Nagwek2Znak">
    <w:name w:val="Nagłówek 2 Znak"/>
    <w:basedOn w:val="Domylnaczcionkaakapitu"/>
    <w:qFormat/>
    <w:rsid w:val="00DD7126"/>
    <w:rPr>
      <w:rFonts w:ascii="Times New Roman" w:hAnsi="Times New Roman" w:cs="Times New Roman"/>
      <w:sz w:val="24"/>
      <w:szCs w:val="24"/>
    </w:rPr>
  </w:style>
  <w:style w:type="character" w:customStyle="1" w:styleId="Nagwek3Znak">
    <w:name w:val="Nagłówek 3 Znak"/>
    <w:basedOn w:val="Domylnaczcionkaakapitu"/>
    <w:qFormat/>
    <w:rsid w:val="00DD7126"/>
    <w:rPr>
      <w:rFonts w:ascii="Times New Roman" w:hAnsi="Times New Roman" w:cs="Times New Roman"/>
      <w:b/>
      <w:sz w:val="24"/>
      <w:szCs w:val="24"/>
    </w:rPr>
  </w:style>
  <w:style w:type="character" w:customStyle="1" w:styleId="NagwekZnak">
    <w:name w:val="Nagłówek Znak"/>
    <w:basedOn w:val="Domylnaczcionkaakapitu"/>
    <w:qFormat/>
    <w:rsid w:val="00DD7126"/>
    <w:rPr>
      <w:rFonts w:ascii="Times New Roman" w:hAnsi="Times New Roman" w:cs="Times New Roman"/>
      <w:sz w:val="24"/>
      <w:szCs w:val="24"/>
    </w:rPr>
  </w:style>
  <w:style w:type="character" w:customStyle="1" w:styleId="StopkaZnak">
    <w:name w:val="Stopka Znak"/>
    <w:basedOn w:val="Domylnaczcionkaakapitu"/>
    <w:uiPriority w:val="99"/>
    <w:qFormat/>
    <w:rsid w:val="00DD7126"/>
    <w:rPr>
      <w:rFonts w:ascii="Times New Roman" w:hAnsi="Times New Roman" w:cs="Times New Roman"/>
      <w:sz w:val="24"/>
      <w:szCs w:val="24"/>
    </w:rPr>
  </w:style>
  <w:style w:type="paragraph" w:styleId="Nagwek">
    <w:name w:val="header"/>
    <w:basedOn w:val="Normalny"/>
    <w:next w:val="Tekstpodstawowy"/>
    <w:qFormat/>
    <w:rsid w:val="00DD7126"/>
    <w:pPr>
      <w:keepNext/>
      <w:spacing w:before="240" w:after="120"/>
    </w:pPr>
    <w:rPr>
      <w:rFonts w:ascii="Liberation Sans" w:eastAsia="Microsoft YaHei" w:hAnsi="Liberation Sans" w:cs="Arial"/>
      <w:sz w:val="28"/>
      <w:szCs w:val="28"/>
    </w:rPr>
  </w:style>
  <w:style w:type="paragraph" w:styleId="Tekstpodstawowy">
    <w:name w:val="Body Text"/>
    <w:basedOn w:val="Normalny"/>
    <w:rsid w:val="00DD7126"/>
    <w:pPr>
      <w:spacing w:after="120" w:line="276" w:lineRule="auto"/>
    </w:pPr>
  </w:style>
  <w:style w:type="paragraph" w:styleId="Lista">
    <w:name w:val="List"/>
    <w:basedOn w:val="Tekstpodstawowy"/>
    <w:rsid w:val="00DD7126"/>
    <w:rPr>
      <w:rFonts w:cs="Arial"/>
    </w:rPr>
  </w:style>
  <w:style w:type="paragraph" w:customStyle="1" w:styleId="Legenda1">
    <w:name w:val="Legenda1"/>
    <w:basedOn w:val="Normalny"/>
    <w:qFormat/>
    <w:rsid w:val="00DD7126"/>
    <w:pPr>
      <w:suppressLineNumbers/>
      <w:spacing w:before="120" w:after="120"/>
    </w:pPr>
    <w:rPr>
      <w:rFonts w:cs="Arial"/>
      <w:i/>
      <w:iCs/>
    </w:rPr>
  </w:style>
  <w:style w:type="paragraph" w:customStyle="1" w:styleId="Indeks">
    <w:name w:val="Indeks"/>
    <w:basedOn w:val="Normalny"/>
    <w:qFormat/>
    <w:rsid w:val="00DD7126"/>
    <w:pPr>
      <w:suppressLineNumbers/>
    </w:pPr>
    <w:rPr>
      <w:rFonts w:cs="Arial"/>
    </w:rPr>
  </w:style>
  <w:style w:type="paragraph" w:styleId="Akapitzlist">
    <w:name w:val="List Paragraph"/>
    <w:basedOn w:val="Normalny"/>
    <w:uiPriority w:val="34"/>
    <w:qFormat/>
    <w:rsid w:val="00DD7126"/>
    <w:pPr>
      <w:spacing w:after="120"/>
      <w:ind w:left="720"/>
    </w:pPr>
  </w:style>
  <w:style w:type="paragraph" w:customStyle="1" w:styleId="Akapitzlist1">
    <w:name w:val="Akapit z listą1"/>
    <w:basedOn w:val="Normalny"/>
    <w:qFormat/>
    <w:rsid w:val="00DD7126"/>
    <w:pPr>
      <w:spacing w:before="120"/>
      <w:ind w:left="720"/>
    </w:pPr>
    <w:rPr>
      <w:rFonts w:eastAsia="Calibri"/>
      <w:lang w:eastAsia="pl-PL"/>
    </w:rPr>
  </w:style>
  <w:style w:type="paragraph" w:customStyle="1" w:styleId="Gwkaistopka">
    <w:name w:val="Główka i stopka"/>
    <w:basedOn w:val="Normalny"/>
    <w:qFormat/>
    <w:rsid w:val="00DD7126"/>
  </w:style>
  <w:style w:type="paragraph" w:customStyle="1" w:styleId="Nagwek1">
    <w:name w:val="Nagłówek1"/>
    <w:basedOn w:val="Normalny"/>
    <w:rsid w:val="00DD7126"/>
    <w:pPr>
      <w:suppressLineNumbers/>
      <w:tabs>
        <w:tab w:val="center" w:pos="4536"/>
        <w:tab w:val="right" w:pos="9072"/>
      </w:tabs>
    </w:pPr>
  </w:style>
  <w:style w:type="paragraph" w:customStyle="1" w:styleId="Stopka1">
    <w:name w:val="Stopka1"/>
    <w:basedOn w:val="Normalny"/>
    <w:rsid w:val="00DD7126"/>
    <w:pPr>
      <w:suppressLineNumbers/>
      <w:tabs>
        <w:tab w:val="center" w:pos="4536"/>
        <w:tab w:val="right" w:pos="9072"/>
      </w:tabs>
    </w:pPr>
  </w:style>
  <w:style w:type="paragraph" w:styleId="Stopka">
    <w:name w:val="footer"/>
    <w:basedOn w:val="Normalny"/>
    <w:link w:val="StopkaZnak1"/>
    <w:uiPriority w:val="99"/>
    <w:unhideWhenUsed/>
    <w:rsid w:val="00DB57A4"/>
    <w:pPr>
      <w:tabs>
        <w:tab w:val="center" w:pos="4536"/>
        <w:tab w:val="right" w:pos="9072"/>
      </w:tabs>
    </w:pPr>
    <w:rPr>
      <w:szCs w:val="21"/>
    </w:rPr>
  </w:style>
  <w:style w:type="character" w:customStyle="1" w:styleId="StopkaZnak1">
    <w:name w:val="Stopka Znak1"/>
    <w:basedOn w:val="Domylnaczcionkaakapitu"/>
    <w:link w:val="Stopka"/>
    <w:uiPriority w:val="99"/>
    <w:semiHidden/>
    <w:rsid w:val="00DB57A4"/>
    <w:rPr>
      <w:rFonts w:ascii="Times New Roman" w:eastAsia="SimSun" w:hAnsi="Times New Roman" w:cs="Mangal"/>
      <w:color w:val="00000A"/>
      <w:kern w:val="2"/>
      <w:sz w:val="24"/>
      <w:szCs w:val="21"/>
      <w:lang w:eastAsia="zh-CN" w:bidi="hi-IN"/>
    </w:rPr>
  </w:style>
  <w:style w:type="paragraph" w:styleId="Tekstprzypisukocowego">
    <w:name w:val="endnote text"/>
    <w:basedOn w:val="Normalny"/>
    <w:link w:val="TekstprzypisukocowegoZnak"/>
    <w:uiPriority w:val="99"/>
    <w:semiHidden/>
    <w:unhideWhenUsed/>
    <w:rsid w:val="0012739D"/>
    <w:rPr>
      <w:sz w:val="20"/>
      <w:szCs w:val="18"/>
    </w:rPr>
  </w:style>
  <w:style w:type="character" w:customStyle="1" w:styleId="TekstprzypisukocowegoZnak">
    <w:name w:val="Tekst przypisu końcowego Znak"/>
    <w:basedOn w:val="Domylnaczcionkaakapitu"/>
    <w:link w:val="Tekstprzypisukocowego"/>
    <w:uiPriority w:val="99"/>
    <w:semiHidden/>
    <w:rsid w:val="0012739D"/>
    <w:rPr>
      <w:rFonts w:ascii="Times New Roman" w:eastAsia="SimSun" w:hAnsi="Times New Roman" w:cs="Mangal"/>
      <w:color w:val="00000A"/>
      <w:kern w:val="2"/>
      <w:szCs w:val="18"/>
      <w:lang w:eastAsia="zh-CN" w:bidi="hi-IN"/>
    </w:rPr>
  </w:style>
  <w:style w:type="character" w:styleId="Odwoanieprzypisukocowego">
    <w:name w:val="endnote reference"/>
    <w:basedOn w:val="Domylnaczcionkaakapitu"/>
    <w:uiPriority w:val="99"/>
    <w:semiHidden/>
    <w:unhideWhenUsed/>
    <w:rsid w:val="0012739D"/>
    <w:rPr>
      <w:vertAlign w:val="superscript"/>
    </w:rPr>
  </w:style>
  <w:style w:type="character" w:styleId="Odwoaniedokomentarza">
    <w:name w:val="annotation reference"/>
    <w:basedOn w:val="Domylnaczcionkaakapitu"/>
    <w:uiPriority w:val="99"/>
    <w:semiHidden/>
    <w:unhideWhenUsed/>
    <w:rsid w:val="00003E97"/>
    <w:rPr>
      <w:sz w:val="16"/>
      <w:szCs w:val="16"/>
    </w:rPr>
  </w:style>
  <w:style w:type="paragraph" w:styleId="Tekstkomentarza">
    <w:name w:val="annotation text"/>
    <w:basedOn w:val="Normalny"/>
    <w:link w:val="TekstkomentarzaZnak"/>
    <w:uiPriority w:val="99"/>
    <w:semiHidden/>
    <w:unhideWhenUsed/>
    <w:rsid w:val="00003E97"/>
    <w:rPr>
      <w:sz w:val="20"/>
      <w:szCs w:val="18"/>
    </w:rPr>
  </w:style>
  <w:style w:type="character" w:customStyle="1" w:styleId="TekstkomentarzaZnak">
    <w:name w:val="Tekst komentarza Znak"/>
    <w:basedOn w:val="Domylnaczcionkaakapitu"/>
    <w:link w:val="Tekstkomentarza"/>
    <w:uiPriority w:val="99"/>
    <w:semiHidden/>
    <w:rsid w:val="00003E97"/>
    <w:rPr>
      <w:rFonts w:ascii="Times New Roman" w:eastAsia="SimSun" w:hAnsi="Times New Roman" w:cs="Mangal"/>
      <w:color w:val="00000A"/>
      <w:kern w:val="2"/>
      <w:szCs w:val="18"/>
      <w:lang w:eastAsia="zh-CN" w:bidi="hi-IN"/>
    </w:rPr>
  </w:style>
  <w:style w:type="paragraph" w:styleId="Tematkomentarza">
    <w:name w:val="annotation subject"/>
    <w:basedOn w:val="Tekstkomentarza"/>
    <w:next w:val="Tekstkomentarza"/>
    <w:link w:val="TematkomentarzaZnak"/>
    <w:uiPriority w:val="99"/>
    <w:semiHidden/>
    <w:unhideWhenUsed/>
    <w:rsid w:val="00003E97"/>
    <w:rPr>
      <w:b/>
      <w:bCs/>
    </w:rPr>
  </w:style>
  <w:style w:type="character" w:customStyle="1" w:styleId="TematkomentarzaZnak">
    <w:name w:val="Temat komentarza Znak"/>
    <w:basedOn w:val="TekstkomentarzaZnak"/>
    <w:link w:val="Tematkomentarza"/>
    <w:uiPriority w:val="99"/>
    <w:semiHidden/>
    <w:rsid w:val="00003E97"/>
    <w:rPr>
      <w:rFonts w:ascii="Times New Roman" w:eastAsia="SimSun" w:hAnsi="Times New Roman" w:cs="Mangal"/>
      <w:b/>
      <w:bCs/>
      <w:color w:val="00000A"/>
      <w:kern w:val="2"/>
      <w:szCs w:val="18"/>
      <w:lang w:eastAsia="zh-CN" w:bidi="hi-IN"/>
    </w:rPr>
  </w:style>
  <w:style w:type="paragraph" w:styleId="Tekstpodstawowy3">
    <w:name w:val="Body Text 3"/>
    <w:basedOn w:val="Normalny"/>
    <w:link w:val="Tekstpodstawowy3Znak"/>
    <w:uiPriority w:val="99"/>
    <w:semiHidden/>
    <w:unhideWhenUsed/>
    <w:rsid w:val="00E94C23"/>
    <w:pPr>
      <w:spacing w:after="120"/>
    </w:pPr>
    <w:rPr>
      <w:sz w:val="16"/>
      <w:szCs w:val="14"/>
    </w:rPr>
  </w:style>
  <w:style w:type="character" w:customStyle="1" w:styleId="Tekstpodstawowy3Znak">
    <w:name w:val="Tekst podstawowy 3 Znak"/>
    <w:basedOn w:val="Domylnaczcionkaakapitu"/>
    <w:link w:val="Tekstpodstawowy3"/>
    <w:uiPriority w:val="99"/>
    <w:semiHidden/>
    <w:rsid w:val="00E94C23"/>
    <w:rPr>
      <w:rFonts w:ascii="Times New Roman" w:eastAsia="SimSun" w:hAnsi="Times New Roman" w:cs="Mangal"/>
      <w:color w:val="00000A"/>
      <w:kern w:val="2"/>
      <w:sz w:val="16"/>
      <w:szCs w:val="14"/>
      <w:lang w:eastAsia="zh-CN" w:bidi="hi-IN"/>
    </w:rPr>
  </w:style>
  <w:style w:type="paragraph" w:customStyle="1" w:styleId="Standard">
    <w:name w:val="Standard"/>
    <w:rsid w:val="00E94C23"/>
    <w:pPr>
      <w:widowControl w:val="0"/>
      <w:suppressAutoHyphens/>
      <w:autoSpaceDN w:val="0"/>
      <w:ind w:left="425" w:hanging="425"/>
      <w:jc w:val="both"/>
    </w:pPr>
    <w:rPr>
      <w:rFonts w:ascii="Times New Roman" w:eastAsia="SimSun" w:hAnsi="Times New Roman" w:cs="Mangal"/>
      <w:kern w:val="3"/>
      <w:sz w:val="24"/>
      <w:szCs w:val="24"/>
      <w:lang w:eastAsia="zh-CN" w:bidi="hi-IN"/>
    </w:rPr>
  </w:style>
  <w:style w:type="paragraph" w:customStyle="1" w:styleId="Normalny1">
    <w:name w:val="Normalny1"/>
    <w:rsid w:val="00E94C23"/>
    <w:pPr>
      <w:autoSpaceDN w:val="0"/>
      <w:spacing w:after="60" w:line="276" w:lineRule="auto"/>
      <w:ind w:left="425" w:hanging="425"/>
      <w:jc w:val="both"/>
    </w:pPr>
    <w:rPr>
      <w:rFonts w:cs="Calibri"/>
      <w:color w:val="000000"/>
      <w:sz w:val="22"/>
      <w:szCs w:val="20"/>
      <w:lang w:eastAsia="pl-PL"/>
    </w:rPr>
  </w:style>
  <w:style w:type="paragraph" w:styleId="Tekstdymka">
    <w:name w:val="Balloon Text"/>
    <w:basedOn w:val="Normalny"/>
    <w:link w:val="TekstdymkaZnak"/>
    <w:uiPriority w:val="99"/>
    <w:semiHidden/>
    <w:unhideWhenUsed/>
    <w:rsid w:val="00D7707A"/>
    <w:rPr>
      <w:rFonts w:ascii="Segoe UI" w:hAnsi="Segoe UI"/>
      <w:sz w:val="18"/>
      <w:szCs w:val="16"/>
    </w:rPr>
  </w:style>
  <w:style w:type="character" w:customStyle="1" w:styleId="TekstdymkaZnak">
    <w:name w:val="Tekst dymka Znak"/>
    <w:basedOn w:val="Domylnaczcionkaakapitu"/>
    <w:link w:val="Tekstdymka"/>
    <w:uiPriority w:val="99"/>
    <w:semiHidden/>
    <w:rsid w:val="00D7707A"/>
    <w:rPr>
      <w:rFonts w:ascii="Segoe UI" w:eastAsia="SimSun" w:hAnsi="Segoe UI" w:cs="Mangal"/>
      <w:color w:val="00000A"/>
      <w:kern w:val="2"/>
      <w:sz w:val="18"/>
      <w:szCs w:val="16"/>
      <w:lang w:eastAsia="zh-CN" w:bidi="hi-IN"/>
    </w:rPr>
  </w:style>
  <w:style w:type="paragraph" w:styleId="Poprawka">
    <w:name w:val="Revision"/>
    <w:hidden/>
    <w:uiPriority w:val="99"/>
    <w:semiHidden/>
    <w:rsid w:val="00072309"/>
    <w:rPr>
      <w:rFonts w:ascii="Times New Roman" w:eastAsia="SimSun" w:hAnsi="Times New Roman" w:cs="Mangal"/>
      <w:color w:val="00000A"/>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884210">
      <w:bodyDiv w:val="1"/>
      <w:marLeft w:val="0"/>
      <w:marRight w:val="0"/>
      <w:marTop w:val="0"/>
      <w:marBottom w:val="0"/>
      <w:divBdr>
        <w:top w:val="none" w:sz="0" w:space="0" w:color="auto"/>
        <w:left w:val="none" w:sz="0" w:space="0" w:color="auto"/>
        <w:bottom w:val="none" w:sz="0" w:space="0" w:color="auto"/>
        <w:right w:val="none" w:sz="0" w:space="0" w:color="auto"/>
      </w:divBdr>
    </w:div>
    <w:div w:id="949236226">
      <w:bodyDiv w:val="1"/>
      <w:marLeft w:val="0"/>
      <w:marRight w:val="0"/>
      <w:marTop w:val="0"/>
      <w:marBottom w:val="0"/>
      <w:divBdr>
        <w:top w:val="none" w:sz="0" w:space="0" w:color="auto"/>
        <w:left w:val="none" w:sz="0" w:space="0" w:color="auto"/>
        <w:bottom w:val="none" w:sz="0" w:space="0" w:color="auto"/>
        <w:right w:val="none" w:sz="0" w:space="0" w:color="auto"/>
      </w:divBdr>
    </w:div>
    <w:div w:id="1111778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A9F60-5CDC-4D2A-A82C-EB4163FEB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1902</Words>
  <Characters>11412</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 Maciołek</dc:creator>
  <cp:lastModifiedBy>Katarzyna B...</cp:lastModifiedBy>
  <cp:revision>5</cp:revision>
  <cp:lastPrinted>2021-09-30T09:06:00Z</cp:lastPrinted>
  <dcterms:created xsi:type="dcterms:W3CDTF">2021-02-22T10:12:00Z</dcterms:created>
  <dcterms:modified xsi:type="dcterms:W3CDTF">2021-10-29T09:18:00Z</dcterms:modified>
  <dc:language>pl-PL</dc:language>
</cp:coreProperties>
</file>